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xrdmwmemjf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xrdmwmemjf</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ygwsjzhgqy</w:t>
      </w:r>
    </w:p>
    <w:p>
      <w:pPr>
        <w:pStyle w:val="BodyText"/>
      </w:pPr>
      <w:r>
        <w:rPr>
          <w:bCs/>
          <w:b/>
        </w:rPr>
        <w:t xml:space="preserve">Senior Sustainability Consultant:</w:t>
      </w:r>
      <w:r>
        <w:t xml:space="preserve"> </w:t>
      </w:r>
      <w:r>
        <w:t xml:space="preserve">vvdtwuxnnq</w:t>
      </w:r>
    </w:p>
    <w:p>
      <w:pPr>
        <w:pStyle w:val="BodyText"/>
      </w:pPr>
      <w:r>
        <w:t xml:space="preserve">This report is generated based on available data and industry standards. While every effort has been made to ensure accuracy, the results are indicative and subject to the quality and completeness of the input parameters. Some data points were provided as placeholders and have been substituted with illustrative examples for methodological demonstration.</w:t>
      </w:r>
    </w:p>
    <w:bookmarkEnd w:id="20"/>
    <w:bookmarkStart w:id="38" w:name="Xdce2a8c8645951d7e1dd7d0f0017cc517ae01d4"/>
    <w:p>
      <w:pPr>
        <w:pStyle w:val="Heading1"/>
      </w:pPr>
      <w:r>
        <w:t xml:space="preserve">Product Carbon Footprint Analysis Report for xrdmwmemjf</w:t>
      </w:r>
    </w:p>
    <w:p>
      <w:pPr>
        <w:pStyle w:val="FirstParagraph"/>
      </w:pPr>
      <w:r>
        <w:t xml:space="preserve">Generated Date: 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xrdmwmemjf</w:t>
      </w:r>
      <w:r>
        <w:t xml:space="preserve">, manufactured by</w:t>
      </w:r>
      <w:r>
        <w:t xml:space="preserve"> </w:t>
      </w:r>
      <w:r>
        <w:rPr>
          <w:bCs/>
          <w:b/>
        </w:rPr>
        <w:t xml:space="preserve">ygwsjzhgqy</w:t>
      </w:r>
      <w:r>
        <w:t xml:space="preserve">. Conducted by</w:t>
      </w:r>
      <w:r>
        <w:t xml:space="preserve"> </w:t>
      </w:r>
      <w:r>
        <w:rPr>
          <w:bCs/>
          <w:b/>
        </w:rPr>
        <w:t xml:space="preserve">vvdtwuxnnq</w:t>
      </w:r>
      <w:r>
        <w:t xml:space="preserve">, Senior Sustainability Consultant, this analysis adheres strictly to the GHG Protocol accounting standard, incorporating the 2026 Land Sector and Removals (LSR) update and targeting at least 95% Scope 3 coverage. The primary objective is to quantify the greenhouse gas (GHG) emissions associated with the product\'s lifecycle from a factory-gate perspective, identify key emission hotspots, and provide insights for reduction strategies.</w:t>
      </w:r>
    </w:p>
    <w:p>
      <w:r>
        <w:pict>
          <v:rect style="width:0;height:1.5pt" o:hralign="center" o:hrstd="t" o:hr="t"/>
        </w:pict>
      </w:r>
    </w:p>
    <w:bookmarkEnd w:id="21"/>
    <w:bookmarkStart w:id="31" w:name="methodology-ghg-protocol-2026-lsr-update"/>
    <w:p>
      <w:pPr>
        <w:pStyle w:val="Heading2"/>
      </w:pPr>
      <w:r>
        <w:t xml:space="preserve">1. Methodology: GHG Protocol &amp; 2026 LSR Update</w:t>
      </w:r>
    </w:p>
    <w:p>
      <w:pPr>
        <w:pStyle w:val="FirstParagraph"/>
      </w:pPr>
      <w:r>
        <w:t xml:space="preserve">The Product Carbon Footprint (PCF) analysis for</w:t>
      </w:r>
      <w:r>
        <w:t xml:space="preserve"> </w:t>
      </w:r>
      <w:r>
        <w:rPr>
          <w:bCs/>
          <w:b/>
        </w:rPr>
        <w:t xml:space="preserve">xrdmwmemjf</w:t>
      </w:r>
      <w:r>
        <w:t xml:space="preserve"> </w:t>
      </w:r>
      <w:r>
        <w:t xml:space="preserve">follows the five-step methodology prescribed by the GHG Protocol Product Standard, integrated with the latest 2026 Land Sector and Removals (LSR) Standard for comprehensive land-related emissions and removals.</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xrdmwmemjf. This serves as the reference unit to which all inputs and outputs are related.</w:t>
      </w:r>
    </w:p>
    <w:p>
      <w:pPr>
        <w:numPr>
          <w:ilvl w:val="0"/>
          <w:numId w:val="1001"/>
        </w:numPr>
        <w:pStyle w:val="Compact"/>
      </w:pPr>
      <w:r>
        <w:rPr>
          <w:bCs/>
          <w:b/>
        </w:rPr>
        <w:t xml:space="preserve">System Boundary:</w:t>
      </w:r>
      <w:r>
        <w:t xml:space="preserve"> </w:t>
      </w:r>
      <w:r>
        <w:t xml:space="preserve">Factory-gate. This boundary includes raw material extraction and processing, manufacturing (ygwsjzhgqy\'s production site in China), inbound logistics to the factory, and packaging. It also extends to cover outbound logistics, the use phase, and end-of-life scenarios to provide a holistic view of the product\'s environmental impact up to the point it leaves the factory and its subsequent lifecycle stages.</w:t>
      </w:r>
    </w:p>
    <w:p>
      <w:pPr>
        <w:numPr>
          <w:ilvl w:val="0"/>
          <w:numId w:val="1001"/>
        </w:numPr>
        <w:pStyle w:val="Compact"/>
      </w:pPr>
      <w:r>
        <w:rPr>
          <w:bCs/>
          <w:b/>
        </w:rPr>
        <w:t xml:space="preserve">Geographic Scope:</w:t>
      </w:r>
      <w:r>
        <w:t xml:space="preserve"> </w:t>
      </w:r>
      <w:r>
        <w:t xml:space="preserve">Final Production Country: China, with a Supply Chain Focus on Europe. This implies upstream activities primarily sourced from Europe, converging for final production in China.</w:t>
      </w:r>
    </w:p>
    <w:p>
      <w:pPr>
        <w:numPr>
          <w:ilvl w:val="0"/>
          <w:numId w:val="1001"/>
        </w:numPr>
        <w:pStyle w:val="Compact"/>
      </w:pPr>
      <w:r>
        <w:rPr>
          <w:bCs/>
          <w:b/>
        </w:rPr>
        <w:t xml:space="preserve">Allocation:</w:t>
      </w:r>
      <w:r>
        <w:t xml:space="preserve"> </w:t>
      </w:r>
      <w:r>
        <w:t xml:space="preserve">For multi-output processes, economic allocation is primarily considered where co-products or by-products generate significant economic value. For single product systems like this PCF, direct assignment of inputs and outputs to the functional unit is applied.</w:t>
      </w:r>
    </w:p>
    <w:bookmarkEnd w:id="22"/>
    <w:bookmarkStart w:id="23" w:name="map-lifecycle-lci-inventory-stages"/>
    <w:p>
      <w:pPr>
        <w:pStyle w:val="Heading3"/>
      </w:pPr>
      <w:r>
        <w:t xml:space="preserve">1.2. Map Lifecycle (LCI Inventory Stages)</w:t>
      </w:r>
    </w:p>
    <w:p>
      <w:pPr>
        <w:pStyle w:val="FirstParagraph"/>
      </w:pPr>
      <w:r>
        <w:t xml:space="preserve">The lifecycle of</w:t>
      </w:r>
      <w:r>
        <w:t xml:space="preserve"> </w:t>
      </w:r>
      <w:r>
        <w:rPr>
          <w:bCs/>
          <w:b/>
        </w:rPr>
        <w:t xml:space="preserve">xrdmwmemjf</w:t>
      </w:r>
      <w:r>
        <w:t xml:space="preserve"> </w:t>
      </w:r>
      <w:r>
        <w:t xml:space="preserve">is mapped across several stages, ensuring comprehensive coverage of potential emission sources:</w:t>
      </w:r>
    </w:p>
    <w:p>
      <w:pPr>
        <w:numPr>
          <w:ilvl w:val="0"/>
          <w:numId w:val="1002"/>
        </w:numPr>
        <w:pStyle w:val="Compact"/>
      </w:pPr>
      <w:r>
        <w:rPr>
          <w:bCs/>
          <w:b/>
        </w:rPr>
        <w:t xml:space="preserve">Raw Material Acquisition &amp; Processing:</w:t>
      </w:r>
      <w:r>
        <w:t xml:space="preserve"> </w:t>
      </w:r>
      <w:r>
        <w:t xml:space="preserve">Extraction, cultivation, and initial processing of all components listed in the Bill of Materials (BOM).</w:t>
      </w:r>
    </w:p>
    <w:p>
      <w:pPr>
        <w:numPr>
          <w:ilvl w:val="0"/>
          <w:numId w:val="1002"/>
        </w:numPr>
        <w:pStyle w:val="Compact"/>
      </w:pPr>
      <w:r>
        <w:rPr>
          <w:bCs/>
          <w:b/>
        </w:rPr>
        <w:t xml:space="preserve">Manufacturing:</w:t>
      </w:r>
      <w:r>
        <w:t xml:space="preserve"> </w:t>
      </w:r>
      <w:r>
        <w:t xml:space="preserve">All processes at the</w:t>
      </w:r>
      <w:r>
        <w:t xml:space="preserve"> </w:t>
      </w:r>
      <w:r>
        <w:rPr>
          <w:bCs/>
          <w:b/>
        </w:rPr>
        <w:t xml:space="preserve">ygwsjzhgqy</w:t>
      </w:r>
      <w:r>
        <w:t xml:space="preserve"> </w:t>
      </w:r>
      <w:r>
        <w:t xml:space="preserve">production facility in China, including material conversion, assembly, and packaging.</w:t>
      </w:r>
    </w:p>
    <w:p>
      <w:pPr>
        <w:numPr>
          <w:ilvl w:val="0"/>
          <w:numId w:val="1002"/>
        </w:numPr>
        <w:pStyle w:val="Compact"/>
      </w:pPr>
      <w:r>
        <w:rPr>
          <w:bCs/>
          <w:b/>
        </w:rPr>
        <w:t xml:space="preserve">Transportation (Upstream &amp; Downstream):</w:t>
      </w:r>
      <w:r>
        <w:t xml:space="preserve"> </w:t>
      </w:r>
      <w:r>
        <w:t xml:space="preserve">Inbound logistics of raw materials from Europe to the China factory, and outbound logistics of the finished product to the market, including last-mile delivery.</w:t>
      </w:r>
    </w:p>
    <w:p>
      <w:pPr>
        <w:numPr>
          <w:ilvl w:val="0"/>
          <w:numId w:val="1002"/>
        </w:numPr>
        <w:pStyle w:val="Compact"/>
      </w:pPr>
      <w:r>
        <w:rPr>
          <w:bCs/>
          <w:b/>
        </w:rPr>
        <w:t xml:space="preserve">Use Phase:</w:t>
      </w:r>
      <w:r>
        <w:t xml:space="preserve"> </w:t>
      </w:r>
      <w:r>
        <w:t xml:space="preserve">Energy consumption by the product during its lifespan.</w:t>
      </w:r>
    </w:p>
    <w:p>
      <w:pPr>
        <w:numPr>
          <w:ilvl w:val="0"/>
          <w:numId w:val="1002"/>
        </w:numPr>
        <w:pStyle w:val="Compact"/>
      </w:pPr>
      <w:r>
        <w:rPr>
          <w:bCs/>
          <w:b/>
        </w:rPr>
        <w:t xml:space="preserve">End-of-Life (EoL):</w:t>
      </w:r>
      <w:r>
        <w:t xml:space="preserve"> </w:t>
      </w:r>
      <w:r>
        <w:t xml:space="preserve">Collection, recycling, disposal, and potential circular economy interventions.</w:t>
      </w:r>
    </w:p>
    <w:bookmarkEnd w:id="23"/>
    <w:bookmarkStart w:id="26" w:name="Xb57f50a89bf1f3f1837369be949d9d60d6c1272"/>
    <w:p>
      <w:pPr>
        <w:pStyle w:val="Heading3"/>
      </w:pPr>
      <w:r>
        <w:t xml:space="preserve">1.3. Collect Data (Primary/Secondary Data Points)</w:t>
      </w:r>
    </w:p>
    <w:p>
      <w:pPr>
        <w:pStyle w:val="FirstParagraph"/>
      </w:pPr>
      <w:r>
        <w:t xml:space="preserve">Data collection involved a hybrid approach, prioritizing primary data where available and supplementing with high-quality secondary data:</w:t>
      </w:r>
    </w:p>
    <w:p>
      <w:pPr>
        <w:numPr>
          <w:ilvl w:val="0"/>
          <w:numId w:val="1003"/>
        </w:numPr>
        <w:pStyle w:val="Compact"/>
      </w:pPr>
      <w:r>
        <w:rPr>
          <w:bCs/>
          <w:b/>
        </w:rPr>
        <w:t xml:space="preserve">Primary Data:</w:t>
      </w:r>
    </w:p>
    <w:p>
      <w:pPr>
        <w:numPr>
          <w:ilvl w:val="1"/>
          <w:numId w:val="1004"/>
        </w:numPr>
        <w:pStyle w:val="Compact"/>
      </w:pPr>
      <w:r>
        <w:rPr>
          <w:bCs/>
          <w:b/>
        </w:rPr>
        <w:t xml:space="preserve">Detailed Bill of Materials (BOM):</w:t>
      </w:r>
      <w:r>
        <w:t xml:space="preserve"> </w:t>
      </w:r>
      <w:r>
        <w:t xml:space="preserve">The provided BOM (phnihpzi) served as the foundation for material impact calculation. For this report, as \'phnihpzi\' was a placeholder, a representative example BOM with specific quantities, units, and pre-calculated total carbon values was used for illustrative purposes. For an actual report, the direct parsing and utilization of the detailed \'phnihpzi\' data would be performed.</w:t>
      </w:r>
    </w:p>
    <w:p>
      <w:pPr>
        <w:numPr>
          <w:ilvl w:val="1"/>
          <w:numId w:val="1004"/>
        </w:numPr>
        <w:pStyle w:val="Compact"/>
      </w:pPr>
      <w:r>
        <w:rPr>
          <w:bCs/>
          <w:b/>
        </w:rPr>
        <w:t xml:space="preserve">Production Energy:</w:t>
      </w:r>
      <w:r>
        <w:t xml:space="preserve"> </w:t>
      </w:r>
      <w:r>
        <w:t xml:space="preserve">The specified energy intensity (yofnhxvpiy: 2.5 kWh/unit) and renewable energy usage (ieuqwwdfqf: 60%) were incorporated.</w:t>
      </w:r>
    </w:p>
    <w:p>
      <w:pPr>
        <w:numPr>
          <w:ilvl w:val="1"/>
          <w:numId w:val="1004"/>
        </w:numPr>
        <w:pStyle w:val="Compact"/>
      </w:pPr>
      <w:r>
        <w:rPr>
          <w:bCs/>
          <w:b/>
        </w:rPr>
        <w:t xml:space="preserve">Product Use Phase:</w:t>
      </w:r>
      <w:r>
        <w:t xml:space="preserve"> </w:t>
      </w:r>
      <w:r>
        <w:t xml:space="preserve">The product lifespan (enjvixinqg: 5 years) and energy consumption in use (kmusuiixqf: 10 kWh/year) were used.</w:t>
      </w:r>
    </w:p>
    <w:p>
      <w:pPr>
        <w:numPr>
          <w:ilvl w:val="1"/>
          <w:numId w:val="1004"/>
        </w:numPr>
        <w:pStyle w:val="Compact"/>
      </w:pPr>
      <w:r>
        <w:rPr>
          <w:bCs/>
          <w:b/>
        </w:rPr>
        <w:t xml:space="preserve">End-of-Life:</w:t>
      </w:r>
      <w:r>
        <w:t xml:space="preserve"> </w:t>
      </w:r>
      <w:r>
        <w:t xml:space="preserve">The recyclability percentage (muwzzsjgoe: 80%) and the presence of circular/take-back programs (kdivspihwk: Company operates a take-back program for product refurbishment and material recovery) were considered.</w:t>
      </w:r>
    </w:p>
    <w:p>
      <w:pPr>
        <w:numPr>
          <w:ilvl w:val="0"/>
          <w:numId w:val="1003"/>
        </w:numPr>
        <w:pStyle w:val="Compact"/>
      </w:pPr>
      <w:r>
        <w:rPr>
          <w:bCs/>
          <w:b/>
        </w:rPr>
        <w:t xml:space="preserve">Secondary Data:</w:t>
      </w:r>
    </w:p>
    <w:p>
      <w:pPr>
        <w:numPr>
          <w:ilvl w:val="1"/>
          <w:numId w:val="1005"/>
        </w:numPr>
        <w:pStyle w:val="Compact"/>
      </w:pPr>
      <w:r>
        <w:rPr>
          <w:bCs/>
          <w:b/>
        </w:rPr>
        <w:t xml:space="preserve">Emission Factors:</w:t>
      </w:r>
      <w:r>
        <w:t xml:space="preserve"> </w:t>
      </w:r>
      <w:r>
        <w:t xml:space="preserve">Industry-standard emission factors were sourced from reputable databases (e.g., Ecoinvent, DEFRA) for material production (where not directly provided in BOM\'s Total Carbon), electricity generation (regional grid mixes for China), and transportation modes.</w:t>
      </w:r>
    </w:p>
    <w:p>
      <w:pPr>
        <w:numPr>
          <w:ilvl w:val="1"/>
          <w:numId w:val="1005"/>
        </w:numPr>
        <w:pStyle w:val="Compact"/>
      </w:pPr>
      <w:r>
        <w:rPr>
          <w:bCs/>
          <w:b/>
        </w:rPr>
        <w:t xml:space="preserve">Logistics Data:</w:t>
      </w:r>
      <w:r>
        <w:t xml:space="preserve"> </w:t>
      </w:r>
      <w:r>
        <w:t xml:space="preserve">Illustrative transport mode (Road freight, Sea freight) and distances (jgfiiqgxgg: 1500 km inbound, 8000 km sea freight outbound, 500 km road outbound) were used. Last-mile delivery (Delivery Type: Parcel delivery van) was also included.</w:t>
      </w:r>
    </w:p>
    <w:bookmarkStart w:id="24" w:name="X45f29a837235ecc20077290ebb1125b80b6a0c5"/>
    <w:p>
      <w:pPr>
        <w:pStyle w:val="Heading4"/>
      </w:pPr>
      <w:r>
        <w:t xml:space="preserve">Detailed Breakdown of Materials (Illustrative BOM based on \'phnihpzi\' format)</w:t>
      </w:r>
    </w:p>
    <w:p>
      <w:pPr>
        <w:pStyle w:val="FirstParagraph"/>
      </w:pPr>
      <w:r>
        <w:t xml:space="preserve">Below is an illustrative Bill of Materials used for this analysis, structured as per the provided format. In a real-world scenario, the data within \'phnihpzi\' would directly populate this table.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MAT002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MAT003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MAT004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gridSpan w:val="7"/>
          </w:tcPr>
          <w:p>
            <w:pPr>
              <w:pStyle w:val="Compact"/>
              <w:jc w:val="right"/>
            </w:pPr>
            <w:r>
              <w:t xml:space="preserve">Total Material Carbon Footprint (Illustrative):</w:t>
            </w:r>
          </w:p>
        </w:tc>
        <w:tc>
          <w:tcPr/>
          <w:p>
            <w:pPr>
              <w:pStyle w:val="Compact"/>
              <w:jc w:val="left"/>
            </w:pPr>
            <w:r>
              <w:t xml:space="preserve">4.00 kg CO2e</w:t>
            </w:r>
          </w:p>
        </w:tc>
      </w:tr>
    </w:tbl>
    <w:bookmarkEnd w:id="24"/>
    <w:bookmarkStart w:id="25" w:name="Xbcffb5761e228bd16857ea393860cf53c3c6c95"/>
    <w:p>
      <w:pPr>
        <w:pStyle w:val="Heading4"/>
      </w:pPr>
      <w:r>
        <w:t xml:space="preserve">Detailed Breakdown of Energy Inputs (Illustrative)</w:t>
      </w:r>
    </w:p>
    <w:p>
      <w:pPr>
        <w:pStyle w:val="FirstParagraph"/>
      </w:pPr>
      <w:r>
        <w:t xml:space="preserve">The manufacturing process at</w:t>
      </w:r>
      <w:r>
        <w:t xml:space="preserve"> </w:t>
      </w:r>
      <w:r>
        <w:rPr>
          <w:bCs/>
          <w:b/>
        </w:rPr>
        <w:t xml:space="preserve">ygwsjzhgqy</w:t>
      </w:r>
      <w:r>
        <w:t xml:space="preserve"> </w:t>
      </w:r>
      <w:r>
        <w:t xml:space="preserve">utilizes energy with a specified intensity and renewable energy mix.</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Input Type</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Production</w:t>
            </w:r>
          </w:p>
        </w:tc>
        <w:tc>
          <w:tcPr/>
          <w:p>
            <w:pPr>
              <w:pStyle w:val="Compact"/>
              <w:jc w:val="left"/>
            </w:pPr>
            <w:r>
              <w:t xml:space="preserve">Energy Intensity</w:t>
            </w:r>
          </w:p>
        </w:tc>
        <w:tc>
          <w:tcPr/>
          <w:p>
            <w:pPr>
              <w:pStyle w:val="Compact"/>
              <w:jc w:val="left"/>
            </w:pPr>
            <w:r>
              <w:t xml:space="preserve">2.5</w:t>
            </w:r>
          </w:p>
        </w:tc>
        <w:tc>
          <w:tcPr/>
          <w:p>
            <w:pPr>
              <w:pStyle w:val="Compact"/>
              <w:jc w:val="left"/>
            </w:pPr>
            <w:r>
              <w:t xml:space="preserve">kWh/unit</w:t>
            </w:r>
          </w:p>
        </w:tc>
        <w:tc>
          <w:tcPr/>
          <w:p>
            <w:pPr>
              <w:pStyle w:val="Compact"/>
              <w:jc w:val="left"/>
            </w:pPr>
            <w:r>
              <w:t xml:space="preserve">Provided as \'yofnhxvpiy\'</w:t>
            </w:r>
          </w:p>
        </w:tc>
      </w:tr>
      <w:tr>
        <w:tc>
          <w:tcPr/>
          <w:p>
            <w:pPr>
              <w:pStyle w:val="Compact"/>
              <w:jc w:val="left"/>
            </w:pPr>
            <w:r>
              <w:t xml:space="preserve">Production</w:t>
            </w:r>
          </w:p>
        </w:tc>
        <w:tc>
          <w:tcPr/>
          <w:p>
            <w:pPr>
              <w:pStyle w:val="Compact"/>
              <w:jc w:val="left"/>
            </w:pPr>
            <w:r>
              <w:t xml:space="preserve">Renewable Energy Usage</w:t>
            </w:r>
          </w:p>
        </w:tc>
        <w:tc>
          <w:tcPr/>
          <w:p>
            <w:pPr>
              <w:pStyle w:val="Compact"/>
              <w:jc w:val="left"/>
            </w:pPr>
            <w:r>
              <w:t xml:space="preserve">60</w:t>
            </w:r>
          </w:p>
        </w:tc>
        <w:tc>
          <w:tcPr/>
          <w:p>
            <w:pPr>
              <w:pStyle w:val="Compact"/>
              <w:jc w:val="left"/>
            </w:pPr>
            <w:r>
              <w:t xml:space="preserve">%</w:t>
            </w:r>
          </w:p>
        </w:tc>
        <w:tc>
          <w:tcPr/>
          <w:p>
            <w:pPr>
              <w:pStyle w:val="Compact"/>
              <w:jc w:val="left"/>
            </w:pPr>
            <w:r>
              <w:t xml:space="preserve">Provided as \'ieuqwwdfqf\'</w:t>
            </w:r>
          </w:p>
        </w:tc>
      </w:tr>
      <w:tr>
        <w:tc>
          <w:tcPr/>
          <w:p>
            <w:pPr>
              <w:pStyle w:val="Compact"/>
              <w:jc w:val="left"/>
            </w:pPr>
            <w:r>
              <w:t xml:space="preserve">Use Phase</w:t>
            </w:r>
          </w:p>
        </w:tc>
        <w:tc>
          <w:tcPr/>
          <w:p>
            <w:pPr>
              <w:pStyle w:val="Compact"/>
              <w:jc w:val="left"/>
            </w:pPr>
            <w:r>
              <w:t xml:space="preserve">Product Lifespan</w:t>
            </w:r>
          </w:p>
        </w:tc>
        <w:tc>
          <w:tcPr/>
          <w:p>
            <w:pPr>
              <w:pStyle w:val="Compact"/>
              <w:jc w:val="left"/>
            </w:pPr>
            <w:r>
              <w:t xml:space="preserve">5</w:t>
            </w:r>
          </w:p>
        </w:tc>
        <w:tc>
          <w:tcPr/>
          <w:p>
            <w:pPr>
              <w:pStyle w:val="Compact"/>
              <w:jc w:val="left"/>
            </w:pPr>
            <w:r>
              <w:t xml:space="preserve">years</w:t>
            </w:r>
          </w:p>
        </w:tc>
        <w:tc>
          <w:tcPr/>
          <w:p>
            <w:pPr>
              <w:pStyle w:val="Compact"/>
              <w:jc w:val="left"/>
            </w:pPr>
            <w:r>
              <w:t xml:space="preserve">Provided as \'enjvixinqg\'</w:t>
            </w:r>
          </w:p>
        </w:tc>
      </w:tr>
      <w:tr>
        <w:tc>
          <w:tcPr/>
          <w:p>
            <w:pPr>
              <w:pStyle w:val="Compact"/>
              <w:jc w:val="left"/>
            </w:pPr>
            <w:r>
              <w:t xml:space="preserve">Use Phase</w:t>
            </w:r>
          </w:p>
        </w:tc>
        <w:tc>
          <w:tcPr/>
          <w:p>
            <w:pPr>
              <w:pStyle w:val="Compact"/>
              <w:jc w:val="left"/>
            </w:pPr>
            <w:r>
              <w:t xml:space="preserve">Energy Consumption in Use</w:t>
            </w:r>
          </w:p>
        </w:tc>
        <w:tc>
          <w:tcPr/>
          <w:p>
            <w:pPr>
              <w:pStyle w:val="Compact"/>
              <w:jc w:val="left"/>
            </w:pPr>
            <w:r>
              <w:t xml:space="preserve">10</w:t>
            </w:r>
          </w:p>
        </w:tc>
        <w:tc>
          <w:tcPr/>
          <w:p>
            <w:pPr>
              <w:pStyle w:val="Compact"/>
              <w:jc w:val="left"/>
            </w:pPr>
            <w:r>
              <w:t xml:space="preserve">kWh/year</w:t>
            </w:r>
          </w:p>
        </w:tc>
        <w:tc>
          <w:tcPr/>
          <w:p>
            <w:pPr>
              <w:pStyle w:val="Compact"/>
              <w:jc w:val="left"/>
            </w:pPr>
            <w:r>
              <w:t xml:space="preserve">Provided as \'kmusuiixqf\'</w:t>
            </w:r>
          </w:p>
        </w:tc>
      </w:tr>
    </w:tbl>
    <w:bookmarkEnd w:id="25"/>
    <w:bookmarkEnd w:id="26"/>
    <w:bookmarkStart w:id="29" w:name="Xb404f6bea4a0013006ec7a9103609d9ea6643c1"/>
    <w:p>
      <w:pPr>
        <w:pStyle w:val="Heading3"/>
      </w:pPr>
      <w:r>
        <w:t xml:space="preserve">1.4. Calculate Emissions (Activity * Emission Factor = CO2e)</w:t>
      </w:r>
    </w:p>
    <w:p>
      <w:pPr>
        <w:pStyle w:val="FirstParagraph"/>
      </w:pPr>
      <w:r>
        <w:t xml:space="preserve">Emissions are calculated for each stage of the product lifecycle and categorized according to the GHG Protocol\'s Scope 1, Scope 2, and Scope 3 definitions. The 2026 LSR Standard is applied by explicitly considering land-use change and potential carbon removals, although specific data for these was not provided and would typically require detailed land-use history and biogenic carbon flow analysis for each material source.</w:t>
      </w:r>
    </w:p>
    <w:bookmarkStart w:id="27" w:name="ghg-protocol-scopes-for-pcf"/>
    <w:p>
      <w:pPr>
        <w:pStyle w:val="Heading4"/>
      </w:pPr>
      <w:r>
        <w:t xml:space="preserve">GHG Protocol Scopes for PCF</w:t>
      </w:r>
    </w:p>
    <w:p>
      <w:pPr>
        <w:numPr>
          <w:ilvl w:val="0"/>
          <w:numId w:val="1006"/>
        </w:numPr>
        <w:pStyle w:val="Compact"/>
      </w:pPr>
      <w:r>
        <w:rPr>
          <w:bCs/>
          <w:b/>
        </w:rPr>
        <w:t xml:space="preserve">Scope 1: Direct Emissions</w:t>
      </w:r>
      <w:r>
        <w:t xml:space="preserve"> </w:t>
      </w:r>
      <w:r>
        <w:t xml:space="preserve">(from sources owned or controlled by ygwsjzhgqy). For a factory-gate PCF, this would include direct fuel combustion at the manufacturing facility specific to the production of xrdmwmemjf, if applicable. Given the system boundary, these are generally integrated into the production process emissions.</w:t>
      </w:r>
    </w:p>
    <w:p>
      <w:pPr>
        <w:numPr>
          <w:ilvl w:val="0"/>
          <w:numId w:val="1006"/>
        </w:numPr>
        <w:pStyle w:val="Compact"/>
      </w:pPr>
      <w:r>
        <w:rPr>
          <w:bCs/>
          <w:b/>
        </w:rPr>
        <w:t xml:space="preserve">Scope 2: Indirect Emissions from Purchased Energy</w:t>
      </w:r>
      <w:r>
        <w:t xml:space="preserve"> </w:t>
      </w:r>
      <w:r>
        <w:t xml:space="preserve">(from the generation of purchased electricity, steam, heat, or cooling consumed by ygwsjzhgqy). This includes electricity consumed during manufacturing.</w:t>
      </w:r>
    </w:p>
    <w:p>
      <w:pPr>
        <w:numPr>
          <w:ilvl w:val="0"/>
          <w:numId w:val="1006"/>
        </w:numPr>
        <w:pStyle w:val="Compact"/>
      </w:pPr>
      <w:r>
        <w:rPr>
          <w:bCs/>
          <w:b/>
        </w:rPr>
        <w:t xml:space="preserve">Scope 3: Other Indirect Emissions</w:t>
      </w:r>
      <w:r>
        <w:t xml:space="preserve"> </w:t>
      </w:r>
      <w:r>
        <w:t xml:space="preserve">(all other indirect emissions that occur in the value chain of the reporting company). This is typically the largest component of a PCF.</w:t>
      </w:r>
    </w:p>
    <w:p>
      <w:pPr>
        <w:numPr>
          <w:ilvl w:val="1"/>
          <w:numId w:val="1007"/>
        </w:numPr>
        <w:pStyle w:val="Compact"/>
      </w:pPr>
      <w:r>
        <w:rPr>
          <w:bCs/>
          <w:b/>
        </w:rPr>
        <w:t xml:space="preserve">Category 1: Purchased goods and services:</w:t>
      </w:r>
      <w:r>
        <w:t xml:space="preserve"> </w:t>
      </w:r>
      <w:r>
        <w:t xml:space="preserve">Emissions from raw material extraction, processing, and manufacturing of components (e.g., from the illustrative BOM).</w:t>
      </w:r>
    </w:p>
    <w:p>
      <w:pPr>
        <w:numPr>
          <w:ilvl w:val="1"/>
          <w:numId w:val="1007"/>
        </w:numPr>
        <w:pStyle w:val="Compact"/>
      </w:pPr>
      <w:r>
        <w:rPr>
          <w:bCs/>
          <w:b/>
        </w:rPr>
        <w:t xml:space="preserve">Category 4: Upstream transportation and distribution:</w:t>
      </w:r>
      <w:r>
        <w:t xml:space="preserve"> </w:t>
      </w:r>
      <w:r>
        <w:t xml:space="preserve">Emissions from transporting raw materials and components to the ygwsjzhgqy factory in China.</w:t>
      </w:r>
    </w:p>
    <w:p>
      <w:pPr>
        <w:numPr>
          <w:ilvl w:val="1"/>
          <w:numId w:val="1007"/>
        </w:numPr>
        <w:pStyle w:val="Compact"/>
      </w:pPr>
      <w:r>
        <w:rPr>
          <w:bCs/>
          <w:b/>
        </w:rPr>
        <w:t xml:space="preserve">Category 9: Downstream transportation and distribution:</w:t>
      </w:r>
      <w:r>
        <w:t xml:space="preserve"> </w:t>
      </w:r>
      <w:r>
        <w:t xml:space="preserve">Emissions from transporting the finished product from the factory to the customer, including last-mile delivery.</w:t>
      </w:r>
    </w:p>
    <w:p>
      <w:pPr>
        <w:numPr>
          <w:ilvl w:val="1"/>
          <w:numId w:val="1007"/>
        </w:numPr>
        <w:pStyle w:val="Compact"/>
      </w:pPr>
      <w:r>
        <w:rPr>
          <w:bCs/>
          <w:b/>
        </w:rPr>
        <w:t xml:space="preserve">Category 11: Use of sold products:</w:t>
      </w:r>
      <w:r>
        <w:t xml:space="preserve"> </w:t>
      </w:r>
      <w:r>
        <w:t xml:space="preserve">Emissions from the energy consumed by xrdmwmemjf during its 5-year lifespan.</w:t>
      </w:r>
    </w:p>
    <w:p>
      <w:pPr>
        <w:numPr>
          <w:ilvl w:val="1"/>
          <w:numId w:val="1007"/>
        </w:numPr>
        <w:pStyle w:val="Compact"/>
      </w:pPr>
      <w:r>
        <w:rPr>
          <w:bCs/>
          <w:b/>
        </w:rPr>
        <w:t xml:space="preserve">Category 12: End-of-life treatment of sold products:</w:t>
      </w:r>
      <w:r>
        <w:t xml:space="preserve"> </w:t>
      </w:r>
      <w:r>
        <w:t xml:space="preserve">Emissions from waste treatment and recycling of xrdmwmemjf components at the end of its life.</w:t>
      </w:r>
    </w:p>
    <w:bookmarkEnd w:id="27"/>
    <w:bookmarkStart w:id="28" w:name="Xe4c340569f883714dc4df0b35cde06da74fd562"/>
    <w:p>
      <w:pPr>
        <w:pStyle w:val="Heading4"/>
      </w:pPr>
      <w:r>
        <w:t xml:space="preserve">Illustrative Emission Calculation Summary for xrdmwmemjf (per functional unit)</w:t>
      </w:r>
    </w:p>
    <w:p>
      <w:pPr>
        <w:pStyle w:val="FirstParagraph"/>
      </w:pPr>
      <w:r>
        <w:t xml:space="preserve">The following table presents an illustrative breakdown of emissions based on the provided parameters and assumed example values for placeholders. This demonstrates the calculation methodology rather than providing definitive values for an unspecified product.</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 &amp; GHG Scope</w:t>
            </w:r>
          </w:p>
        </w:tc>
        <w:tc>
          <w:tcPr/>
          <w:p>
            <w:pPr>
              <w:pStyle w:val="Compact"/>
              <w:jc w:val="left"/>
            </w:pPr>
            <w:r>
              <w:t xml:space="preserve">Activity Data (Illustrative)</w:t>
            </w:r>
          </w:p>
        </w:tc>
        <w:tc>
          <w:tcPr/>
          <w:p>
            <w:pPr>
              <w:pStyle w:val="Compact"/>
              <w:jc w:val="left"/>
            </w:pPr>
            <w:r>
              <w:t xml:space="preserve">Emission Factor (Illustrative)</w:t>
            </w:r>
          </w:p>
        </w:tc>
        <w:tc>
          <w:tcPr/>
          <w:p>
            <w:pPr>
              <w:pStyle w:val="Compact"/>
              <w:jc w:val="left"/>
            </w:pPr>
            <w:r>
              <w:t xml:space="preserve">Total CO2e (kg)</w:t>
            </w:r>
          </w:p>
        </w:tc>
        <w:tc>
          <w:tcPr/>
          <w:p>
            <w:pPr>
              <w:pStyle w:val="Compact"/>
              <w:jc w:val="left"/>
            </w:pPr>
            <w:r>
              <w:t xml:space="preserve">Notes</w:t>
            </w:r>
          </w:p>
        </w:tc>
      </w:tr>
      <w:tr>
        <w:tc>
          <w:tcPr>
            <w:gridSpan w:val="5"/>
          </w:tcPr>
          <w:p>
            <w:pPr>
              <w:pStyle w:val="Compact"/>
              <w:jc w:val="left"/>
            </w:pPr>
            <w:r>
              <w:t xml:space="preserve">Scope 3: Upstream Emissions</w:t>
            </w:r>
          </w:p>
        </w:tc>
      </w:tr>
      <w:tr>
        <w:tc>
          <w:tcPr/>
          <w:p>
            <w:pPr>
              <w:pStyle w:val="Compact"/>
              <w:jc w:val="left"/>
            </w:pPr>
            <w:r>
              <w:rPr>
                <w:bCs/>
                <w:b/>
              </w:rPr>
              <w:t xml:space="preserve">Materials (Category 1)</w:t>
            </w:r>
          </w:p>
        </w:tc>
        <w:tc>
          <w:tcPr/>
          <w:p>
            <w:pPr>
              <w:pStyle w:val="Compact"/>
              <w:jc w:val="left"/>
            </w:pPr>
            <w:r>
              <w:t xml:space="preserve">Sum of "Total Carbon" from BOM</w:t>
            </w:r>
          </w:p>
        </w:tc>
        <w:tc>
          <w:tcPr/>
          <w:p>
            <w:pPr>
              <w:pStyle w:val="Compact"/>
              <w:jc w:val="left"/>
            </w:pPr>
            <w:r>
              <w:t xml:space="preserve">N/A (pre-calculated)</w:t>
            </w:r>
          </w:p>
        </w:tc>
        <w:tc>
          <w:tcPr/>
          <w:p>
            <w:pPr>
              <w:pStyle w:val="Compact"/>
              <w:jc w:val="left"/>
            </w:pPr>
            <w:r>
              <w:t xml:space="preserve">4.00</w:t>
            </w:r>
          </w:p>
        </w:tc>
        <w:tc>
          <w:tcPr/>
          <w:p>
            <w:pPr>
              <w:pStyle w:val="Compact"/>
              <w:jc w:val="left"/>
            </w:pPr>
            <w:r>
              <w:t xml:space="preserve">From illustrative BOM. Includes raw material extraction &amp; processing.</w:t>
            </w:r>
          </w:p>
        </w:tc>
      </w:tr>
      <w:tr>
        <w:tc>
          <w:tcPr/>
          <w:p>
            <w:pPr>
              <w:pStyle w:val="Compact"/>
              <w:jc w:val="left"/>
            </w:pPr>
            <w:r>
              <w:rPr>
                <w:bCs/>
                <w:b/>
              </w:rPr>
              <w:t xml:space="preserve">Upstream Transport (Category 4)</w:t>
            </w:r>
          </w:p>
        </w:tc>
        <w:tc>
          <w:tcPr/>
          <w:p>
            <w:pPr>
              <w:pStyle w:val="Compact"/>
              <w:jc w:val="left"/>
            </w:pPr>
            <w:r>
              <w:t xml:space="preserve">Inbound (Europe to China): 0.85 kg product * 1500 km (Road)</w:t>
            </w:r>
          </w:p>
        </w:tc>
        <w:tc>
          <w:tcPr/>
          <w:p>
            <w:pPr>
              <w:pStyle w:val="Compact"/>
              <w:jc w:val="left"/>
            </w:pPr>
            <w:r>
              <w:t xml:space="preserve">0.09 kg CO2e/tkm</w:t>
            </w:r>
          </w:p>
        </w:tc>
        <w:tc>
          <w:tcPr/>
          <w:p>
            <w:pPr>
              <w:pStyle w:val="Compact"/>
              <w:jc w:val="left"/>
            </w:pPr>
            <w:r>
              <w:t xml:space="preserve">0.11</w:t>
            </w:r>
          </w:p>
        </w:tc>
        <w:tc>
          <w:tcPr/>
          <w:p>
            <w:pPr>
              <w:pStyle w:val="Compact"/>
              <w:jc w:val="left"/>
            </w:pPr>
            <w:r>
              <w:t xml:space="preserve">Assumes product weight of 0.85 kg. Distance \'jgfiiqgxgg\' interpreted as 1500 km.</w:t>
            </w:r>
          </w:p>
        </w:tc>
      </w:tr>
      <w:tr>
        <w:tc>
          <w:tcPr>
            <w:gridSpan w:val="5"/>
          </w:tcPr>
          <w:p>
            <w:pPr>
              <w:pStyle w:val="Compact"/>
              <w:jc w:val="left"/>
            </w:pPr>
            <w:r>
              <w:t xml:space="preserve">Scope 1 &amp; 2: Production Emissions (Factory-Gate Boundary)</w:t>
            </w:r>
          </w:p>
        </w:tc>
      </w:tr>
      <w:tr>
        <w:tc>
          <w:tcPr/>
          <w:p>
            <w:pPr>
              <w:pStyle w:val="Compact"/>
              <w:jc w:val="left"/>
            </w:pPr>
            <w:r>
              <w:rPr>
                <w:bCs/>
                <w:b/>
              </w:rPr>
              <w:t xml:space="preserve">Production Energy (Scope 2)</w:t>
            </w:r>
          </w:p>
        </w:tc>
        <w:tc>
          <w:tcPr/>
          <w:p>
            <w:pPr>
              <w:pStyle w:val="Compact"/>
              <w:jc w:val="left"/>
            </w:pPr>
            <w:r>
              <w:t xml:space="preserve">2.5 kWh/unit * (1 - 0.60 renewable)</w:t>
            </w:r>
          </w:p>
        </w:tc>
        <w:tc>
          <w:tcPr/>
          <w:p>
            <w:pPr>
              <w:pStyle w:val="Compact"/>
              <w:jc w:val="left"/>
            </w:pPr>
            <w:r>
              <w:t xml:space="preserve">0.6 kg CO2e/kWh (China grid average)</w:t>
            </w:r>
          </w:p>
        </w:tc>
        <w:tc>
          <w:tcPr/>
          <w:p>
            <w:pPr>
              <w:pStyle w:val="Compact"/>
              <w:jc w:val="left"/>
            </w:pPr>
            <w:r>
              <w:t xml:space="preserve">0.60</w:t>
            </w:r>
          </w:p>
        </w:tc>
        <w:tc>
          <w:tcPr/>
          <w:p>
            <w:pPr>
              <w:pStyle w:val="Compact"/>
              <w:jc w:val="left"/>
            </w:pPr>
            <w:r>
              <w:t xml:space="preserve">Energy Intensity \'yofnhxvpiy\', Renewable Usage \'ieuqwwdfqf\'.</w:t>
            </w:r>
          </w:p>
        </w:tc>
      </w:tr>
      <w:tr>
        <w:tc>
          <w:tcPr/>
          <w:p>
            <w:pPr>
              <w:pStyle w:val="Compact"/>
              <w:jc w:val="left"/>
            </w:pPr>
            <w:r>
              <w:rPr>
                <w:bCs/>
                <w:b/>
              </w:rPr>
              <w:t xml:space="preserve">Direct Manufacturing (Scope 1)</w:t>
            </w:r>
          </w:p>
        </w:tc>
        <w:tc>
          <w:tcPr/>
          <w:p>
            <w:pPr>
              <w:pStyle w:val="Compact"/>
              <w:jc w:val="left"/>
            </w:pPr>
            <w:r>
              <w:t xml:space="preserve">Minor direct fuel (e.g., forklift)</w:t>
            </w:r>
          </w:p>
        </w:tc>
        <w:tc>
          <w:tcPr/>
          <w:p>
            <w:pPr>
              <w:pStyle w:val="Compact"/>
              <w:jc w:val="left"/>
            </w:pPr>
            <w:r>
              <w:t xml:space="preserve">0.01 kg CO2e</w:t>
            </w:r>
          </w:p>
        </w:tc>
        <w:tc>
          <w:tcPr/>
          <w:p>
            <w:pPr>
              <w:pStyle w:val="Compact"/>
              <w:jc w:val="left"/>
            </w:pPr>
            <w:r>
              <w:t xml:space="preserve">0.01</w:t>
            </w:r>
          </w:p>
        </w:tc>
        <w:tc>
          <w:tcPr/>
          <w:p>
            <w:pPr>
              <w:pStyle w:val="Compact"/>
              <w:jc w:val="left"/>
            </w:pPr>
            <w:r>
              <w:t xml:space="preserve">Illustrative, often negligible for PCF compared to electricity/materials.</w:t>
            </w:r>
          </w:p>
        </w:tc>
      </w:tr>
      <w:tr>
        <w:tc>
          <w:tcPr>
            <w:gridSpan w:val="5"/>
          </w:tcPr>
          <w:p>
            <w:pPr>
              <w:pStyle w:val="Compact"/>
              <w:jc w:val="left"/>
            </w:pPr>
            <w:r>
              <w:t xml:space="preserve">Scope 3: Downstream Emissions</w:t>
            </w:r>
          </w:p>
        </w:tc>
      </w:tr>
      <w:tr>
        <w:tc>
          <w:tcPr/>
          <w:p>
            <w:pPr>
              <w:pStyle w:val="Compact"/>
              <w:jc w:val="left"/>
            </w:pPr>
            <w:r>
              <w:rPr>
                <w:bCs/>
                <w:b/>
              </w:rPr>
              <w:t xml:space="preserve">Outbound Transport (Category 9)</w:t>
            </w:r>
          </w:p>
        </w:tc>
        <w:tc>
          <w:tcPr/>
          <w:p>
            <w:pPr>
              <w:pStyle w:val="Compact"/>
              <w:jc w:val="left"/>
            </w:pPr>
            <w:r>
              <w:t xml:space="preserve">Outbound (China to Market): 0.85 kg product * (8000 km Sea + 500 km Road)</w:t>
            </w:r>
          </w:p>
        </w:tc>
        <w:tc>
          <w:tcPr/>
          <w:p>
            <w:pPr>
              <w:pStyle w:val="Compact"/>
              <w:jc w:val="left"/>
            </w:pPr>
            <w:r>
              <w:t xml:space="preserve">0.01 kg CO2e/tkm (Sea) + 0.09 kg CO2e/tkm (Road)</w:t>
            </w:r>
          </w:p>
        </w:tc>
        <w:tc>
          <w:tcPr/>
          <w:p>
            <w:pPr>
              <w:pStyle w:val="Compact"/>
              <w:jc w:val="left"/>
            </w:pPr>
            <w:r>
              <w:t xml:space="preserve">0.07 + 0.04 = 0.11</w:t>
            </w:r>
          </w:p>
        </w:tc>
        <w:tc>
          <w:tcPr/>
          <w:p>
            <w:pPr>
              <w:pStyle w:val="Compact"/>
              <w:jc w:val="left"/>
            </w:pPr>
            <w:r>
              <w:t xml:space="preserve">Assumes product weight of 0.85 kg.</w:t>
            </w:r>
          </w:p>
        </w:tc>
      </w:tr>
      <w:tr>
        <w:tc>
          <w:tcPr/>
          <w:p>
            <w:pPr>
              <w:pStyle w:val="Compact"/>
              <w:jc w:val="left"/>
            </w:pPr>
            <w:r>
              <w:rPr>
                <w:bCs/>
                <w:b/>
              </w:rPr>
              <w:t xml:space="preserve">Last-Mile Delivery (Category 9)</w:t>
            </w:r>
          </w:p>
        </w:tc>
        <w:tc>
          <w:tcPr/>
          <w:p>
            <w:pPr>
              <w:pStyle w:val="Compact"/>
              <w:jc w:val="left"/>
            </w:pPr>
            <w:r>
              <w:t xml:space="preserve">50 km via Parcel Delivery Van</w:t>
            </w:r>
          </w:p>
        </w:tc>
        <w:tc>
          <w:tcPr/>
          <w:p>
            <w:pPr>
              <w:pStyle w:val="Compact"/>
              <w:jc w:val="left"/>
            </w:pPr>
            <w:r>
              <w:t xml:space="preserve">0.15 kg CO2e/km</w:t>
            </w:r>
          </w:p>
        </w:tc>
        <w:tc>
          <w:tcPr/>
          <w:p>
            <w:pPr>
              <w:pStyle w:val="Compact"/>
              <w:jc w:val="left"/>
            </w:pPr>
            <w:r>
              <w:t xml:space="preserve">7.50</w:t>
            </w:r>
          </w:p>
        </w:tc>
        <w:tc>
          <w:tcPr/>
          <w:p>
            <w:pPr>
              <w:pStyle w:val="Compact"/>
              <w:jc w:val="left"/>
            </w:pPr>
            <w:r>
              <w:t xml:space="preserve">\'Delivery Type\' interpreted as Parcel Delivery Van. Assumes average distance of 50 km.</w:t>
            </w:r>
          </w:p>
        </w:tc>
      </w:tr>
      <w:tr>
        <w:tc>
          <w:tcPr/>
          <w:p>
            <w:pPr>
              <w:pStyle w:val="Compact"/>
              <w:jc w:val="left"/>
            </w:pPr>
            <w:r>
              <w:rPr>
                <w:bCs/>
                <w:b/>
              </w:rPr>
              <w:t xml:space="preserve">Use Phase (Category 11)</w:t>
            </w:r>
          </w:p>
        </w:tc>
        <w:tc>
          <w:tcPr/>
          <w:p>
            <w:pPr>
              <w:pStyle w:val="Compact"/>
              <w:jc w:val="left"/>
            </w:pPr>
            <w:r>
              <w:t xml:space="preserve">10 kWh/year * 5 years lifespan</w:t>
            </w:r>
          </w:p>
        </w:tc>
        <w:tc>
          <w:tcPr/>
          <w:p>
            <w:pPr>
              <w:pStyle w:val="Compact"/>
              <w:jc w:val="left"/>
            </w:pPr>
            <w:r>
              <w:t xml:space="preserve">0.6 kg CO2e/kWh (Global Avg for product use)</w:t>
            </w:r>
          </w:p>
        </w:tc>
        <w:tc>
          <w:tcPr/>
          <w:p>
            <w:pPr>
              <w:pStyle w:val="Compact"/>
              <w:jc w:val="left"/>
            </w:pPr>
            <w:r>
              <w:t xml:space="preserve">30.00</w:t>
            </w:r>
          </w:p>
        </w:tc>
        <w:tc>
          <w:tcPr/>
          <w:p>
            <w:pPr>
              <w:pStyle w:val="Compact"/>
              <w:jc w:val="left"/>
            </w:pPr>
            <w:r>
              <w:t xml:space="preserve">Lifespan \'enjvixinqg\', Energy in Use \'kmusuiixqf\'. Assumes non-renewable energy mix during use.</w:t>
            </w:r>
          </w:p>
        </w:tc>
      </w:tr>
      <w:tr>
        <w:tc>
          <w:tcPr/>
          <w:p>
            <w:pPr>
              <w:pStyle w:val="Compact"/>
              <w:jc w:val="left"/>
            </w:pPr>
            <w:r>
              <w:rPr>
                <w:bCs/>
                <w:b/>
              </w:rPr>
              <w:t xml:space="preserve">End-of-Life (Category 12)</w:t>
            </w:r>
          </w:p>
        </w:tc>
        <w:tc>
          <w:tcPr/>
          <w:p>
            <w:pPr>
              <w:pStyle w:val="Compact"/>
              <w:jc w:val="left"/>
            </w:pPr>
            <w:r>
              <w:t xml:space="preserve">(1 - 0.80 recyclability) * Material Emissions</w:t>
            </w:r>
          </w:p>
        </w:tc>
        <w:tc>
          <w:tcPr/>
          <w:p>
            <w:pPr>
              <w:pStyle w:val="Compact"/>
              <w:jc w:val="left"/>
            </w:pPr>
            <w:r>
              <w:t xml:space="preserve">Assumes 1 kg CO2e/kg for incineration/landfill</w:t>
            </w:r>
          </w:p>
        </w:tc>
        <w:tc>
          <w:tcPr/>
          <w:p>
            <w:pPr>
              <w:pStyle w:val="Compact"/>
              <w:jc w:val="left"/>
            </w:pPr>
            <w:r>
              <w:t xml:space="preserve">0.17</w:t>
            </w:r>
          </w:p>
        </w:tc>
        <w:tc>
          <w:tcPr/>
          <w:p>
            <w:pPr>
              <w:pStyle w:val="Compact"/>
              <w:jc w:val="left"/>
            </w:pPr>
            <w:r>
              <w:t xml:space="preserve">Recyclability \'muwzzsjgoe\'. Assumes 0.85 kg product mass * 20% non-recycled * 1 kg CO2e/kg disposal. Net impact from circular programs (kdivspihwk) would reduce this.</w:t>
            </w:r>
          </w:p>
        </w:tc>
      </w:tr>
      <w:tr>
        <w:tc>
          <w:tcPr>
            <w:gridSpan w:val="3"/>
          </w:tcPr>
          <w:p>
            <w:pPr>
              <w:pStyle w:val="Compact"/>
              <w:jc w:val="right"/>
            </w:pPr>
            <w:r>
              <w:t xml:space="preserve">Total Product Carbon Footprint (Illustrative):</w:t>
            </w:r>
          </w:p>
        </w:tc>
        <w:tc>
          <w:tcPr/>
          <w:p>
            <w:pPr>
              <w:pStyle w:val="Compact"/>
              <w:jc w:val="left"/>
            </w:pPr>
            <w:r>
              <w:t xml:space="preserve">42.40 kg CO2e</w:t>
            </w:r>
          </w:p>
        </w:tc>
        <w:tc>
          <w:tcPr/>
          <w:p>
            <w:pPr>
              <w:pStyle w:val="Compact"/>
            </w:pPr>
          </w:p>
        </w:tc>
      </w:tr>
    </w:tbl>
    <w:p>
      <w:pPr>
        <w:pStyle w:val="BodyText"/>
      </w:pPr>
      <w:r>
        <w:rPr>
          <w:bCs/>
          <w:b/>
        </w:rPr>
        <w:t xml:space="preserve">LSR Update Application:</w:t>
      </w:r>
      <w:r>
        <w:t xml:space="preserve"> </w:t>
      </w:r>
      <w:r>
        <w:t xml:space="preserve">The 2026 LSR Standard integrates land use emissions (e.g., from raw material cultivation) and carbon removals (e.g., through biogenic carbon sequestration in wood products) into the PCF. While specific data was not provided for each material\'s land-use impact or removal potential, the methodology acknowledges their inclusion. For example, if packaging material (MAT004, cardboard) originated from sustainably managed forests, carbon sequestration might be factored in, reducing the net emission. Conversely, land-use change for agricultural feedstocks could add emissions.</w:t>
      </w:r>
    </w:p>
    <w:p>
      <w:pPr>
        <w:pStyle w:val="BodyText"/>
      </w:pPr>
      <w:r>
        <w:rPr>
          <w:bCs/>
          <w:b/>
        </w:rPr>
        <w:t xml:space="preserve">Scope 3 Compliance:</w:t>
      </w:r>
      <w:r>
        <w:t xml:space="preserve"> </w:t>
      </w:r>
      <w:r>
        <w:t xml:space="preserve">With detailed consideration of purchased goods and services, transportation (upstream and downstream), use-phase energy, and end-of-life, the analysis aims to achieve at least 95% coverage for Scope 3 reporting, in line with 2026 requirements. The illustrative breakdown above demonstrates this comprehensive approach.</w:t>
      </w:r>
    </w:p>
    <w:bookmarkEnd w:id="28"/>
    <w:bookmarkEnd w:id="29"/>
    <w:bookmarkStart w:id="30" w:name="review-report"/>
    <w:p>
      <w:pPr>
        <w:pStyle w:val="Heading3"/>
      </w:pPr>
      <w:r>
        <w:t xml:space="preserve">1.5. Review &amp; Report</w:t>
      </w:r>
    </w:p>
    <w:p>
      <w:pPr>
        <w:pStyle w:val="FirstParagraph"/>
      </w:pPr>
      <w:r>
        <w:t xml:space="preserve">The final stage involves reviewing the calculations for accuracy and consistency, identifying key emission hotspots, and reporting the findings.</w:t>
      </w:r>
    </w:p>
    <w:p>
      <w:pPr>
        <w:numPr>
          <w:ilvl w:val="0"/>
          <w:numId w:val="1008"/>
        </w:numPr>
        <w:pStyle w:val="Compact"/>
      </w:pPr>
      <w:r>
        <w:rPr>
          <w:bCs/>
          <w:b/>
        </w:rPr>
        <w:t xml:space="preserve">Hotspots:</w:t>
      </w:r>
      <w:r>
        <w:t xml:space="preserve"> </w:t>
      </w:r>
      <w:r>
        <w:t xml:space="preserve">Based on the illustrative data, the \'Use Phase\' (Category 11) appears to be the most significant hotspot, largely due to energy consumption over the product\'s lifespan. \'Last-Mile Delivery\' (Category 9) also contributes significantly, highlighting the impact of distribution networks. Material production (Category 1) is another substantial contributor.</w:t>
      </w:r>
    </w:p>
    <w:p>
      <w:pPr>
        <w:numPr>
          <w:ilvl w:val="0"/>
          <w:numId w:val="1008"/>
        </w:numPr>
        <w:pStyle w:val="Compact"/>
      </w:pPr>
      <w:r>
        <w:rPr>
          <w:bCs/>
          <w:b/>
        </w:rPr>
        <w:t xml:space="preserve">Reliability:</w:t>
      </w:r>
      <w:r>
        <w:t xml:space="preserve"> </w:t>
      </w:r>
      <w:r>
        <w:t xml:space="preserve">The reliability of this PCF is directly dependent on the accuracy and granularity of the input data. The use of primary data for BOM, production energy, and use-phase specifics enhances reliability. Secondary data from established databases ensures consistency. However, reliance on placeholder values for specific inputs in this demonstration means the numerical results are illustrative.</w:t>
      </w:r>
    </w:p>
    <w:p>
      <w:r>
        <w:pict>
          <v:rect style="width:0;height:1.5pt" o:hralign="center" o:hrstd="t" o:hr="t"/>
        </w:pict>
      </w:r>
    </w:p>
    <w:bookmarkEnd w:id="30"/>
    <w:bookmarkEnd w:id="31"/>
    <w:bookmarkStart w:id="34" w:name="Xba3d4bd2686af3fa4dc6a4b508905ab773c79a9"/>
    <w:p>
      <w:pPr>
        <w:pStyle w:val="Heading2"/>
      </w:pPr>
      <w:r>
        <w:t xml:space="preserve">2. Product Carbon Footprint Results (Illustrative)</w:t>
      </w:r>
    </w:p>
    <w:p>
      <w:pPr>
        <w:pStyle w:val="FirstParagraph"/>
      </w:pPr>
      <w:r>
        <w:t xml:space="preserve">The total illustrative Product Carbon Footprint for one unit of</w:t>
      </w:r>
      <w:r>
        <w:t xml:space="preserve"> </w:t>
      </w:r>
      <w:r>
        <w:rPr>
          <w:bCs/>
          <w:b/>
        </w:rPr>
        <w:t xml:space="preserve">xrdmwmemjf</w:t>
      </w:r>
      <w:r>
        <w:t xml:space="preserve"> </w:t>
      </w:r>
      <w:r>
        <w:t xml:space="preserve">is estimated at</w:t>
      </w:r>
      <w:r>
        <w:t xml:space="preserve"> </w:t>
      </w:r>
      <w:r>
        <w:rPr>
          <w:bCs/>
          <w:b/>
        </w:rPr>
        <w:t xml:space="preserve">42.40 kg CO2e</w:t>
      </w:r>
      <w:r>
        <w:t xml:space="preserve">. The breakdown by lifecycle stage and GHG Scope provides insights into the primary drivers of this footprint.</w:t>
      </w:r>
    </w:p>
    <w:bookmarkStart w:id="32" w:name="emission-breakdown-by-lifecycle-stage"/>
    <w:p>
      <w:pPr>
        <w:pStyle w:val="Heading3"/>
      </w:pPr>
      <w:r>
        <w:t xml:space="preserve">2.1. Emission Breakdown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Illustrative CO2e (kg)</w:t>
            </w:r>
          </w:p>
        </w:tc>
        <w:tc>
          <w:tcPr/>
          <w:p>
            <w:pPr>
              <w:pStyle w:val="Compact"/>
              <w:jc w:val="left"/>
            </w:pPr>
            <w:r>
              <w:t xml:space="preserve">Percentage (%)</w:t>
            </w:r>
          </w:p>
        </w:tc>
      </w:tr>
      <w:tr>
        <w:tc>
          <w:tcPr/>
          <w:p>
            <w:pPr>
              <w:pStyle w:val="Compact"/>
              <w:jc w:val="left"/>
            </w:pPr>
            <w:r>
              <w:t xml:space="preserve">Raw Material Acquisition &amp; Processing</w:t>
            </w:r>
          </w:p>
        </w:tc>
        <w:tc>
          <w:tcPr/>
          <w:p>
            <w:pPr>
              <w:pStyle w:val="Compact"/>
              <w:jc w:val="left"/>
            </w:pPr>
            <w:r>
              <w:t xml:space="preserve">4.00</w:t>
            </w:r>
          </w:p>
        </w:tc>
        <w:tc>
          <w:tcPr/>
          <w:p>
            <w:pPr>
              <w:pStyle w:val="Compact"/>
              <w:jc w:val="left"/>
            </w:pPr>
            <w:r>
              <w:t xml:space="preserve">9.43%</w:t>
            </w:r>
          </w:p>
        </w:tc>
      </w:tr>
      <w:tr>
        <w:tc>
          <w:tcPr/>
          <w:p>
            <w:pPr>
              <w:pStyle w:val="Compact"/>
              <w:jc w:val="left"/>
            </w:pPr>
            <w:r>
              <w:t xml:space="preserve">Upstream Transportation</w:t>
            </w:r>
          </w:p>
        </w:tc>
        <w:tc>
          <w:tcPr/>
          <w:p>
            <w:pPr>
              <w:pStyle w:val="Compact"/>
              <w:jc w:val="left"/>
            </w:pPr>
            <w:r>
              <w:t xml:space="preserve">0.11</w:t>
            </w:r>
          </w:p>
        </w:tc>
        <w:tc>
          <w:tcPr/>
          <w:p>
            <w:pPr>
              <w:pStyle w:val="Compact"/>
              <w:jc w:val="left"/>
            </w:pPr>
            <w:r>
              <w:t xml:space="preserve">0.26%</w:t>
            </w:r>
          </w:p>
        </w:tc>
      </w:tr>
      <w:tr>
        <w:tc>
          <w:tcPr/>
          <w:p>
            <w:pPr>
              <w:pStyle w:val="Compact"/>
              <w:jc w:val="left"/>
            </w:pPr>
            <w:r>
              <w:t xml:space="preserve">Manufacturing (Production Energy &amp; Direct Emissions)</w:t>
            </w:r>
          </w:p>
        </w:tc>
        <w:tc>
          <w:tcPr/>
          <w:p>
            <w:pPr>
              <w:pStyle w:val="Compact"/>
              <w:jc w:val="left"/>
            </w:pPr>
            <w:r>
              <w:t xml:space="preserve">0.61</w:t>
            </w:r>
          </w:p>
        </w:tc>
        <w:tc>
          <w:tcPr/>
          <w:p>
            <w:pPr>
              <w:pStyle w:val="Compact"/>
              <w:jc w:val="left"/>
            </w:pPr>
            <w:r>
              <w:t xml:space="preserve">1.44%</w:t>
            </w:r>
          </w:p>
        </w:tc>
      </w:tr>
      <w:tr>
        <w:tc>
          <w:tcPr/>
          <w:p>
            <w:pPr>
              <w:pStyle w:val="Compact"/>
              <w:jc w:val="left"/>
            </w:pPr>
            <w:r>
              <w:t xml:space="preserve">Downstream Transportation (Outbound &amp; Last-Mile)</w:t>
            </w:r>
          </w:p>
        </w:tc>
        <w:tc>
          <w:tcPr/>
          <w:p>
            <w:pPr>
              <w:pStyle w:val="Compact"/>
              <w:jc w:val="left"/>
            </w:pPr>
            <w:r>
              <w:t xml:space="preserve">7.61</w:t>
            </w:r>
          </w:p>
        </w:tc>
        <w:tc>
          <w:tcPr/>
          <w:p>
            <w:pPr>
              <w:pStyle w:val="Compact"/>
              <w:jc w:val="left"/>
            </w:pPr>
            <w:r>
              <w:t xml:space="preserve">17.95%</w:t>
            </w:r>
          </w:p>
        </w:tc>
      </w:tr>
      <w:tr>
        <w:tc>
          <w:tcPr/>
          <w:p>
            <w:pPr>
              <w:pStyle w:val="Compact"/>
              <w:jc w:val="left"/>
            </w:pPr>
            <w:r>
              <w:t xml:space="preserve">Use Phase</w:t>
            </w:r>
          </w:p>
        </w:tc>
        <w:tc>
          <w:tcPr/>
          <w:p>
            <w:pPr>
              <w:pStyle w:val="Compact"/>
              <w:jc w:val="left"/>
            </w:pPr>
            <w:r>
              <w:t xml:space="preserve">30.00</w:t>
            </w:r>
          </w:p>
        </w:tc>
        <w:tc>
          <w:tcPr/>
          <w:p>
            <w:pPr>
              <w:pStyle w:val="Compact"/>
              <w:jc w:val="left"/>
            </w:pPr>
            <w:r>
              <w:t xml:space="preserve">70.76%</w:t>
            </w:r>
          </w:p>
        </w:tc>
      </w:tr>
      <w:tr>
        <w:tc>
          <w:tcPr/>
          <w:p>
            <w:pPr>
              <w:pStyle w:val="Compact"/>
              <w:jc w:val="left"/>
            </w:pPr>
            <w:r>
              <w:t xml:space="preserve">End-of-Life</w:t>
            </w:r>
          </w:p>
        </w:tc>
        <w:tc>
          <w:tcPr/>
          <w:p>
            <w:pPr>
              <w:pStyle w:val="Compact"/>
              <w:jc w:val="left"/>
            </w:pPr>
            <w:r>
              <w:t xml:space="preserve">0.17</w:t>
            </w:r>
          </w:p>
        </w:tc>
        <w:tc>
          <w:tcPr/>
          <w:p>
            <w:pPr>
              <w:pStyle w:val="Compact"/>
              <w:jc w:val="left"/>
            </w:pPr>
            <w:r>
              <w:t xml:space="preserve">0.40%</w:t>
            </w:r>
          </w:p>
        </w:tc>
      </w:tr>
      <w:tr>
        <w:tc>
          <w:tcPr/>
          <w:p>
            <w:pPr>
              <w:pStyle w:val="Compact"/>
              <w:jc w:val="right"/>
            </w:pPr>
            <w:r>
              <w:t xml:space="preserve">Total PCF:</w:t>
            </w:r>
          </w:p>
        </w:tc>
        <w:tc>
          <w:tcPr/>
          <w:p>
            <w:pPr>
              <w:pStyle w:val="Compact"/>
              <w:jc w:val="left"/>
            </w:pPr>
            <w:r>
              <w:t xml:space="preserve">42.40</w:t>
            </w:r>
          </w:p>
        </w:tc>
        <w:tc>
          <w:tcPr/>
          <w:p>
            <w:pPr>
              <w:pStyle w:val="Compact"/>
              <w:jc w:val="left"/>
            </w:pPr>
            <w:r>
              <w:t xml:space="preserve">100.00%</w:t>
            </w:r>
          </w:p>
        </w:tc>
      </w:tr>
    </w:tbl>
    <w:bookmarkEnd w:id="32"/>
    <w:bookmarkStart w:id="33" w:name="emission-breakdown-by-ghg-protocol-scope"/>
    <w:p>
      <w:pPr>
        <w:pStyle w:val="Heading3"/>
      </w:pPr>
      <w:r>
        <w:t xml:space="preserve">2.2. Emission Breakdown by GHG Protocol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Illustrative CO2e (kg)</w:t>
            </w:r>
          </w:p>
        </w:tc>
        <w:tc>
          <w:tcPr/>
          <w:p>
            <w:pPr>
              <w:pStyle w:val="Compact"/>
              <w:jc w:val="left"/>
            </w:pPr>
            <w:r>
              <w:t xml:space="preserve">Percentage (%)</w:t>
            </w:r>
          </w:p>
        </w:tc>
      </w:tr>
      <w:tr>
        <w:tc>
          <w:tcPr/>
          <w:p>
            <w:pPr>
              <w:pStyle w:val="Compact"/>
              <w:jc w:val="left"/>
            </w:pPr>
            <w:r>
              <w:t xml:space="preserve">Scope 1 (Direct)</w:t>
            </w:r>
          </w:p>
        </w:tc>
        <w:tc>
          <w:tcPr/>
          <w:p>
            <w:pPr>
              <w:pStyle w:val="Compact"/>
              <w:jc w:val="left"/>
            </w:pPr>
            <w:r>
              <w:t xml:space="preserve">0.01</w:t>
            </w:r>
          </w:p>
        </w:tc>
        <w:tc>
          <w:tcPr/>
          <w:p>
            <w:pPr>
              <w:pStyle w:val="Compact"/>
              <w:jc w:val="left"/>
            </w:pPr>
            <w:r>
              <w:t xml:space="preserve">0.02%</w:t>
            </w:r>
          </w:p>
        </w:tc>
      </w:tr>
      <w:tr>
        <w:tc>
          <w:tcPr/>
          <w:p>
            <w:pPr>
              <w:pStyle w:val="Compact"/>
              <w:jc w:val="left"/>
            </w:pPr>
            <w:r>
              <w:t xml:space="preserve">Scope 2 (Purchased Energy)</w:t>
            </w:r>
          </w:p>
        </w:tc>
        <w:tc>
          <w:tcPr/>
          <w:p>
            <w:pPr>
              <w:pStyle w:val="Compact"/>
              <w:jc w:val="left"/>
            </w:pPr>
            <w:r>
              <w:t xml:space="preserve">0.60</w:t>
            </w:r>
          </w:p>
        </w:tc>
        <w:tc>
          <w:tcPr/>
          <w:p>
            <w:pPr>
              <w:pStyle w:val="Compact"/>
              <w:jc w:val="left"/>
            </w:pPr>
            <w:r>
              <w:t xml:space="preserve">1.42%</w:t>
            </w:r>
          </w:p>
        </w:tc>
      </w:tr>
      <w:tr>
        <w:tc>
          <w:tcPr/>
          <w:p>
            <w:pPr>
              <w:pStyle w:val="Compact"/>
              <w:jc w:val="left"/>
            </w:pPr>
            <w:r>
              <w:t xml:space="preserve">Scope 3 (Value Chain)</w:t>
            </w:r>
          </w:p>
        </w:tc>
        <w:tc>
          <w:tcPr/>
          <w:p>
            <w:pPr>
              <w:pStyle w:val="Compact"/>
              <w:jc w:val="left"/>
            </w:pPr>
            <w:r>
              <w:t xml:space="preserve">41.79</w:t>
            </w:r>
          </w:p>
        </w:tc>
        <w:tc>
          <w:tcPr/>
          <w:p>
            <w:pPr>
              <w:pStyle w:val="Compact"/>
              <w:jc w:val="left"/>
            </w:pPr>
            <w:r>
              <w:t xml:space="preserve">98.56%</w:t>
            </w:r>
          </w:p>
        </w:tc>
      </w:tr>
      <w:tr>
        <w:tc>
          <w:tcPr/>
          <w:p>
            <w:pPr>
              <w:pStyle w:val="Compact"/>
              <w:jc w:val="right"/>
            </w:pPr>
            <w:r>
              <w:t xml:space="preserve">Total PCF:</w:t>
            </w:r>
          </w:p>
        </w:tc>
        <w:tc>
          <w:tcPr/>
          <w:p>
            <w:pPr>
              <w:pStyle w:val="Compact"/>
              <w:jc w:val="left"/>
            </w:pPr>
            <w:r>
              <w:t xml:space="preserve">42.40</w:t>
            </w:r>
          </w:p>
        </w:tc>
        <w:tc>
          <w:tcPr/>
          <w:p>
            <w:pPr>
              <w:pStyle w:val="Compact"/>
              <w:jc w:val="left"/>
            </w:pPr>
            <w:r>
              <w:t xml:space="preserve">100.00%</w:t>
            </w:r>
          </w:p>
        </w:tc>
      </w:tr>
    </w:tbl>
    <w:p>
      <w:pPr>
        <w:pStyle w:val="BodyText"/>
      </w:pPr>
      <w:r>
        <w:t xml:space="preserve">As expected for a product carbon footprint, Scope 3 emissions dominate the total footprint, accounting for approximately 98.56% in this illustrative example. This underscores the importance of a comprehensive Scope 3 assessment for understanding product-level impacts.</w:t>
      </w:r>
    </w:p>
    <w:p>
      <w:r>
        <w:pict>
          <v:rect style="width:0;height:1.5pt" o:hralign="center" o:hrstd="t" o:hr="t"/>
        </w:pict>
      </w:r>
    </w:p>
    <w:bookmarkEnd w:id="33"/>
    <w:bookmarkEnd w:id="34"/>
    <w:bookmarkStart w:id="37" w:name="key-findings-recommendations"/>
    <w:p>
      <w:pPr>
        <w:pStyle w:val="Heading2"/>
      </w:pPr>
      <w:r>
        <w:t xml:space="preserve">3. Key Findings &amp; Recommendations</w:t>
      </w:r>
    </w:p>
    <w:p>
      <w:pPr>
        <w:pStyle w:val="FirstParagraph"/>
      </w:pPr>
      <w:r>
        <w:t xml:space="preserve">Based on the illustrative analysis, the following key findings and recommendations are presented:</w:t>
      </w:r>
    </w:p>
    <w:bookmarkStart w:id="35" w:name="key-findings"/>
    <w:p>
      <w:pPr>
        <w:pStyle w:val="Heading3"/>
      </w:pPr>
      <w:r>
        <w:t xml:space="preserve">3.1. Key Findings</w:t>
      </w:r>
    </w:p>
    <w:p>
      <w:pPr>
        <w:numPr>
          <w:ilvl w:val="0"/>
          <w:numId w:val="1009"/>
        </w:numPr>
        <w:pStyle w:val="Compact"/>
      </w:pPr>
      <w:r>
        <w:rPr>
          <w:bCs/>
          <w:b/>
        </w:rPr>
        <w:t xml:space="preserve">Use Phase Dominance:</w:t>
      </w:r>
      <w:r>
        <w:t xml:space="preserve"> </w:t>
      </w:r>
      <w:r>
        <w:t xml:space="preserve">The \'Use Phase\' is the most significant contributor to the PCF of</w:t>
      </w:r>
      <w:r>
        <w:t xml:space="preserve"> </w:t>
      </w:r>
      <w:r>
        <w:rPr>
          <w:bCs/>
          <w:b/>
        </w:rPr>
        <w:t xml:space="preserve">xrdmwmemjf</w:t>
      </w:r>
      <w:r>
        <w:t xml:space="preserve">, primarily driven by the product\'s energy consumption over its 5-year lifespan.</w:t>
      </w:r>
    </w:p>
    <w:p>
      <w:pPr>
        <w:numPr>
          <w:ilvl w:val="0"/>
          <w:numId w:val="1009"/>
        </w:numPr>
        <w:pStyle w:val="Compact"/>
      </w:pPr>
      <w:r>
        <w:rPr>
          <w:bCs/>
          <w:b/>
        </w:rPr>
        <w:t xml:space="preserve">Downstream Logistics Impact:</w:t>
      </w:r>
      <w:r>
        <w:t xml:space="preserve"> </w:t>
      </w:r>
      <w:r>
        <w:t xml:space="preserve">Downstream transportation, particularly last-mile delivery, presents a notable hotspot. This indicates that efficient and low-carbon delivery solutions are crucial.</w:t>
      </w:r>
    </w:p>
    <w:p>
      <w:pPr>
        <w:numPr>
          <w:ilvl w:val="0"/>
          <w:numId w:val="1009"/>
        </w:numPr>
        <w:pStyle w:val="Compact"/>
      </w:pPr>
      <w:r>
        <w:rPr>
          <w:bCs/>
          <w:b/>
        </w:rPr>
        <w:t xml:space="preserve">Material Footprint:</w:t>
      </w:r>
      <w:r>
        <w:t xml:space="preserve"> </w:t>
      </w:r>
      <w:r>
        <w:t xml:space="preserve">While smaller than the use phase, the \'Raw Material Acquisition &amp; Processing\' stage still contributes significantly, highlighting opportunities for sustainable material sourcing.</w:t>
      </w:r>
    </w:p>
    <w:p>
      <w:pPr>
        <w:numPr>
          <w:ilvl w:val="0"/>
          <w:numId w:val="1009"/>
        </w:numPr>
        <w:pStyle w:val="Compact"/>
      </w:pPr>
      <w:r>
        <w:rPr>
          <w:bCs/>
          <w:b/>
        </w:rPr>
        <w:t xml:space="preserve">Circular Economy Potential:</w:t>
      </w:r>
      <w:r>
        <w:t xml:space="preserve"> </w:t>
      </w:r>
      <w:r>
        <w:t xml:space="preserve">The stated recyclability percentage of 80% and the presence of a take-back program (kdivspihwk) indicate strong potential for reducing end-of-life impacts and fostering circularity. Further analysis could quantify the actual carbon savings from these initiatives.</w:t>
      </w:r>
    </w:p>
    <w:bookmarkEnd w:id="35"/>
    <w:bookmarkStart w:id="36" w:name="recommendations-for-emission-reduction"/>
    <w:p>
      <w:pPr>
        <w:pStyle w:val="Heading3"/>
      </w:pPr>
      <w:r>
        <w:t xml:space="preserve">3.2. Recommendations for Emission Reduction</w:t>
      </w:r>
    </w:p>
    <w:p>
      <w:pPr>
        <w:numPr>
          <w:ilvl w:val="0"/>
          <w:numId w:val="1010"/>
        </w:numPr>
        <w:pStyle w:val="Compact"/>
      </w:pPr>
      <w:r>
        <w:rPr>
          <w:bCs/>
          <w:b/>
        </w:rPr>
        <w:t xml:space="preserve">Optimize Use Phase Efficiency:</w:t>
      </w:r>
    </w:p>
    <w:p>
      <w:pPr>
        <w:numPr>
          <w:ilvl w:val="1"/>
          <w:numId w:val="1011"/>
        </w:numPr>
        <w:pStyle w:val="Compact"/>
      </w:pPr>
      <w:r>
        <w:t xml:space="preserve">Invest in R&amp;D to significantly reduce the product\'s energy consumption during its active lifespan.</w:t>
      </w:r>
    </w:p>
    <w:p>
      <w:pPr>
        <w:numPr>
          <w:ilvl w:val="1"/>
          <w:numId w:val="1011"/>
        </w:numPr>
        <w:pStyle w:val="Compact"/>
      </w:pPr>
      <w:r>
        <w:t xml:space="preserve">Explore options for powering the product with renewable energy sources for the end-user, e.g., through partnerships or incentives.</w:t>
      </w:r>
    </w:p>
    <w:p>
      <w:pPr>
        <w:numPr>
          <w:ilvl w:val="0"/>
          <w:numId w:val="1010"/>
        </w:numPr>
        <w:pStyle w:val="Compact"/>
      </w:pPr>
      <w:r>
        <w:rPr>
          <w:bCs/>
          <w:b/>
        </w:rPr>
        <w:t xml:space="preserve">Enhance Sustainable Logistics:</w:t>
      </w:r>
    </w:p>
    <w:p>
      <w:pPr>
        <w:numPr>
          <w:ilvl w:val="1"/>
          <w:numId w:val="1012"/>
        </w:numPr>
        <w:pStyle w:val="Compact"/>
      </w:pPr>
      <w:r>
        <w:t xml:space="preserve">Evaluate and implement lower-emission transport modes for both upstream and downstream logistics, prioritizing rail or sea freight where feasible.</w:t>
      </w:r>
    </w:p>
    <w:p>
      <w:pPr>
        <w:numPr>
          <w:ilvl w:val="1"/>
          <w:numId w:val="1012"/>
        </w:numPr>
        <w:pStyle w:val="Compact"/>
      </w:pPr>
      <w:r>
        <w:t xml:space="preserve">Optimize last-mile delivery routes and explore electric or alternative fuel vehicles for parcel delivery.</w:t>
      </w:r>
    </w:p>
    <w:p>
      <w:pPr>
        <w:numPr>
          <w:ilvl w:val="1"/>
          <w:numId w:val="1012"/>
        </w:numPr>
        <w:pStyle w:val="Compact"/>
      </w:pPr>
      <w:r>
        <w:t xml:space="preserve">Consider localized production or distribution centers to reduce overall transport distances.</w:t>
      </w:r>
    </w:p>
    <w:p>
      <w:pPr>
        <w:numPr>
          <w:ilvl w:val="0"/>
          <w:numId w:val="1010"/>
        </w:numPr>
        <w:pStyle w:val="Compact"/>
      </w:pPr>
      <w:r>
        <w:rPr>
          <w:bCs/>
          <w:b/>
        </w:rPr>
        <w:t xml:space="preserve">Advance Material Circularity:</w:t>
      </w:r>
    </w:p>
    <w:p>
      <w:pPr>
        <w:numPr>
          <w:ilvl w:val="1"/>
          <w:numId w:val="1013"/>
        </w:numPr>
        <w:pStyle w:val="Compact"/>
      </w:pPr>
      <w:r>
        <w:t xml:space="preserve">Actively promote and expand the take-back program (kdivspihwk) to maximize product refurbishment and high-value material recovery.</w:t>
      </w:r>
    </w:p>
    <w:p>
      <w:pPr>
        <w:numPr>
          <w:ilvl w:val="1"/>
          <w:numId w:val="1013"/>
        </w:numPr>
        <w:pStyle w:val="Compact"/>
      </w:pPr>
      <w:r>
        <w:t xml:space="preserve">Explore increasing the recyclability percentage beyond 80% through design for disassembly and material selection.</w:t>
      </w:r>
    </w:p>
    <w:p>
      <w:pPr>
        <w:numPr>
          <w:ilvl w:val="1"/>
          <w:numId w:val="1013"/>
        </w:numPr>
        <w:pStyle w:val="Compact"/>
      </w:pPr>
      <w:r>
        <w:t xml:space="preserve">Investigate the use of recycled content and bio-based materials in the BOM to reduce upstream impacts.</w:t>
      </w:r>
    </w:p>
    <w:p>
      <w:pPr>
        <w:numPr>
          <w:ilvl w:val="0"/>
          <w:numId w:val="1010"/>
        </w:numPr>
        <w:pStyle w:val="Compact"/>
      </w:pPr>
      <w:r>
        <w:rPr>
          <w:bCs/>
          <w:b/>
        </w:rPr>
        <w:t xml:space="preserve">Improve Production Energy Mix:</w:t>
      </w:r>
      <w:r>
        <w:t xml:space="preserve"> </w:t>
      </w:r>
      <w:r>
        <w:t xml:space="preserve">While 60% renewable energy (ieuqwwdfqf) is commendable, continuous efforts should be made to further decarbonize the remaining 40% of electricity consumption at the manufacturing facility in China, potentially through on-site renewables or purchasing certified green energy.</w:t>
      </w:r>
    </w:p>
    <w:p>
      <w:r>
        <w:pict>
          <v:rect style="width:0;height:1.5pt" o:hralign="center" o:hrstd="t" o:hr="t"/>
        </w:pict>
      </w:r>
    </w:p>
    <w:p>
      <w:pPr>
        <w:pStyle w:val="FirstParagraph"/>
      </w:pPr>
      <w:r>
        <w:t xml:space="preserve">Confidential - Internal Use Only.</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xrdmwmemjf</dc:title>
  <dc:creator/>
  <dc:description>Detailed Product Carbon Footprint (PCF) analysis for xrdmwmemjf by ygwsjzhgqy, following GHG Protocol standards and 2026 LSR Update for sustainability reporting.</dc:description>
  <dc:language>en</dc:language>
  <cp:keywords/>
  <dcterms:created xsi:type="dcterms:W3CDTF">2026-07-15T13:33:46Z</dcterms:created>
  <dcterms:modified xsi:type="dcterms:W3CDTF">2026-07-15T13:33:46Z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