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xjzlemshrx</w:t>
      </w:r>
    </w:p>
    <w:bookmarkStart w:id="20" w:name="carboncalcpcf.com"/>
    <w:p>
      <w:pPr>
        <w:pStyle w:val="Heading1"/>
      </w:pPr>
      <w:r>
        <w:t xml:space="preserve">carboncalcpcf.com</w:t>
      </w:r>
    </w:p>
    <w:p>
      <w:pPr>
        <w:pStyle w:val="FirstParagraph"/>
      </w:pPr>
      <w:r>
        <w:t xml:space="preserve">Product Carbon Footprint Analysis Report</w:t>
      </w:r>
    </w:p>
    <w:bookmarkEnd w:id="20"/>
    <w:bookmarkStart w:id="21" w:name="xjzlemshrx"/>
    <w:p>
      <w:pPr>
        <w:pStyle w:val="Heading1"/>
      </w:pPr>
      <w:r>
        <w:t xml:space="preserve">xjzlemshrx</w:t>
      </w:r>
    </w:p>
    <w:p>
      <w:pPr>
        <w:pStyle w:val="FirstParagraph"/>
      </w:pPr>
      <w:r>
        <w:t xml:space="preserve">**Protocol Data (Accounting Standard):** GHG Protocol</w:t>
      </w:r>
    </w:p>
    <w:p>
      <w:pPr>
        <w:pStyle w:val="BodyText"/>
      </w:pPr>
      <w:r>
        <w:t xml:space="preserve">**Name of the Company:** gdfinxsmlo</w:t>
      </w:r>
    </w:p>
    <w:p>
      <w:pPr>
        <w:pStyle w:val="BodyText"/>
      </w:pPr>
      <w:r>
        <w:t xml:space="preserve">**Senior Sustainability Consultant:** zpeiijmtgw</w:t>
      </w:r>
    </w:p>
    <w:p>
      <w:pPr>
        <w:pStyle w:val="BodyText"/>
      </w:pPr>
      <w:r>
        <w:t xml:space="preserve">This report is generated based on available data and industry standards, providing an estimate of the product\'s carbon footprint. Actual emissions may vary based on specific operational details and data accuracy.</w:t>
      </w:r>
    </w:p>
    <w:bookmarkEnd w:id="21"/>
    <w:bookmarkStart w:id="22" w:name="X157a821ee140a9d21751915339b35efef3e5c95"/>
    <w:p>
      <w:pPr>
        <w:pStyle w:val="Heading1"/>
      </w:pPr>
      <w:r>
        <w:t xml:space="preserve">Product Carbon Footprint Analysis Report for xjzlemshrx</w:t>
      </w:r>
    </w:p>
    <w:p>
      <w:pPr>
        <w:pStyle w:val="FirstParagraph"/>
      </w:pPr>
      <w:r>
        <w:t xml:space="preserve">Generated Date: Monday, May 18,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\'xjzlemshrx\', manufactured by \'gdfinxsmlo\'. The analysis, conducted by Senior Sustainability Consultant zpeiijmtgw, adheres strictly to the GHG Protocol standards, including considerations for the 2026 Land Sector and Removals (LSR) update. The aim is to quantify the greenhouse gas (GHG) emissions across the product\'s lifecycle from a factory-gate perspective, with a focus on a European-centric supply chain for a product produced in China. Key insights into material, energy, transport, use-phase, and end-of-life impacts are provided, alongside an overview of emissions categorized by GHG Protocol Scopes.</w:t>
      </w:r>
    </w:p>
    <w:p>
      <w:r>
        <w:pict>
          <v:rect style="width:0;height:1.5pt" o:hralign="center" o:hrstd="t" o:hr="t"/>
        </w:pict>
      </w:r>
    </w:p>
    <w:bookmarkEnd w:id="23"/>
    <w:bookmarkStart w:id="25" w:name="introduction"/>
    <w:p>
      <w:pPr>
        <w:pStyle w:val="Heading2"/>
      </w:pPr>
      <w:r>
        <w:t xml:space="preserve">2. Introduction</w:t>
      </w:r>
    </w:p>
    <w:p>
      <w:pPr>
        <w:pStyle w:val="FirstParagraph"/>
      </w:pPr>
      <w:r>
        <w:t xml:space="preserve">The increasing urgency of climate change necessitates a thorough understanding of product-level environmental impacts. A Product Carbon Footprint (PCF) analysis provides a comprehensive assessment of the greenhouse gas emissions associated with a product throughout its lifecycle. This report details the PCF for \'xjzlemshrx\', enabling \'gdfinxsmlo\' to identify emission hotspots, inform design improvements, and enhance sustainability reporting.</w:t>
      </w:r>
    </w:p>
    <w:bookmarkStart w:id="24" w:name="product-and-company-details"/>
    <w:p>
      <w:pPr>
        <w:pStyle w:val="Heading3"/>
      </w:pPr>
      <w:r>
        <w:t xml:space="preserve">2.1. Product and Company Details</w:t>
      </w:r>
    </w:p>
    <w:p>
      <w:pPr>
        <w:numPr>
          <w:ilvl w:val="0"/>
          <w:numId w:val="1001"/>
        </w:numPr>
        <w:pStyle w:val="Compact"/>
      </w:pPr>
      <w:r>
        <w:rPr>
          <w:bCs/>
          <w:b/>
        </w:rPr>
        <w:t xml:space="preserve">Product Name:</w:t>
      </w:r>
      <w:r>
        <w:t xml:space="preserve"> </w:t>
      </w:r>
      <w:r>
        <w:t xml:space="preserve">xjzlemshrx</w:t>
      </w:r>
    </w:p>
    <w:p>
      <w:pPr>
        <w:numPr>
          <w:ilvl w:val="0"/>
          <w:numId w:val="1001"/>
        </w:numPr>
        <w:pStyle w:val="Compact"/>
      </w:pPr>
      <w:r>
        <w:rPr>
          <w:bCs/>
          <w:b/>
        </w:rPr>
        <w:t xml:space="preserve">Company Name:</w:t>
      </w:r>
      <w:r>
        <w:t xml:space="preserve"> </w:t>
      </w:r>
      <w:r>
        <w:t xml:space="preserve">gdfinxsmlo</w:t>
      </w:r>
    </w:p>
    <w:p>
      <w:pPr>
        <w:numPr>
          <w:ilvl w:val="0"/>
          <w:numId w:val="1001"/>
        </w:numPr>
        <w:pStyle w:val="Compact"/>
      </w:pPr>
      <w:r>
        <w:rPr>
          <w:bCs/>
          <w:b/>
        </w:rPr>
        <w:t xml:space="preserve">Senior Sustainability Consultant:</w:t>
      </w:r>
      <w:r>
        <w:t xml:space="preserve"> </w:t>
      </w:r>
      <w:r>
        <w:t xml:space="preserve">zpeiijmtgw</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xjzlemshrx</w:t>
      </w:r>
    </w:p>
    <w:p>
      <w:pPr>
        <w:numPr>
          <w:ilvl w:val="0"/>
          <w:numId w:val="1001"/>
        </w:numPr>
        <w:pStyle w:val="Compact"/>
      </w:pPr>
      <w:r>
        <w:rPr>
          <w:bCs/>
          <w:b/>
        </w:rPr>
        <w:t xml:space="preserve">System Boundary:</w:t>
      </w:r>
      <w:r>
        <w:t xml:space="preserve"> </w:t>
      </w:r>
      <w:r>
        <w:t xml:space="preserve">factory_gate (cradle-to-gate, plus use-phase and end-of-life considerations for a complete picture)</w:t>
      </w:r>
    </w:p>
    <w:p>
      <w:pPr>
        <w:numPr>
          <w:ilvl w:val="0"/>
          <w:numId w:val="1001"/>
        </w:numPr>
        <w:pStyle w:val="Compact"/>
      </w:pPr>
      <w:r>
        <w:rPr>
          <w:bCs/>
          <w:b/>
        </w:rPr>
        <w:t xml:space="preserve">Geographic Scope:</w:t>
      </w:r>
      <w:r>
        <w:t xml:space="preserve"> </w:t>
      </w:r>
      <w:r>
        <w:t xml:space="preserve">Final Production Country: China, Supply Chain Focus: Europe Focused</w:t>
      </w:r>
    </w:p>
    <w:p>
      <w:r>
        <w:pict>
          <v:rect style="width:0;height:1.5pt" o:hralign="center" o:hrstd="t" o:hr="t"/>
        </w:pict>
      </w:r>
    </w:p>
    <w:bookmarkEnd w:id="24"/>
    <w:bookmarkEnd w:id="25"/>
    <w:bookmarkStart w:id="26" w:name="methodology"/>
    <w:p>
      <w:pPr>
        <w:pStyle w:val="Heading2"/>
      </w:pPr>
      <w:r>
        <w:t xml:space="preserve">3. Methodology</w:t>
      </w:r>
    </w:p>
    <w:p>
      <w:pPr>
        <w:pStyle w:val="FirstParagraph"/>
      </w:pPr>
      <w:r>
        <w:t xml:space="preserve">The Product Carbon Footprint (PCF) analysis was conducted following a five-step methodology aligned with the GHG Protocol Product Standard.</w:t>
      </w:r>
    </w:p>
    <w:p>
      <w:pPr>
        <w:numPr>
          <w:ilvl w:val="0"/>
          <w:numId w:val="1002"/>
        </w:numPr>
      </w:pPr>
      <w:r>
        <w:rPr>
          <w:bCs/>
          <w:b/>
        </w:rPr>
        <w:t xml:space="preserve">Define Scope:</w:t>
      </w:r>
    </w:p>
    <w:p>
      <w:pPr>
        <w:numPr>
          <w:ilvl w:val="0"/>
          <w:numId w:val="1000"/>
        </w:numPr>
      </w:pPr>
      <w:r>
        <w:t xml:space="preserve">The functional unit is defined as 1.0 unit of \'xjzlemshrx\'. The system boundary is \'factory_gate\', encompassing raw material acquisition, manufacturing, and transport to the factory gate. For a holistic view, additional modules covering the use phase and end-of-life treatment have also been considered, extending to a "cradle-to-grave" perspective. Geographic scope focuses on production in China with a European-focused supply chain, meaning raw materials and finished product distribution are primarily linked to Europe. Allocation of emissions is based on mass and economic value where co-products are identified.</w:t>
      </w:r>
    </w:p>
    <w:p>
      <w:pPr>
        <w:numPr>
          <w:ilvl w:val="0"/>
          <w:numId w:val="1002"/>
        </w:numPr>
      </w:pPr>
      <w:r>
        <w:rPr>
          <w:bCs/>
          <w:b/>
        </w:rPr>
        <w:t xml:space="preserve">Map Lifecycle (LCI inventory stages):</w:t>
      </w:r>
    </w:p>
    <w:p>
      <w:pPr>
        <w:numPr>
          <w:ilvl w:val="0"/>
          <w:numId w:val="1000"/>
        </w:numPr>
      </w:pPr>
      <w:r>
        <w:t xml:space="preserve">The lifecycle of \'xjzlemshrx\' was mapped to include: raw material extraction and processing, inbound transportation to the manufacturing facility, product manufacturing (including energy consumption), outbound transportation, product use phase, and end-of-life treatment (recycling, disposal).</w:t>
      </w:r>
    </w:p>
    <w:p>
      <w:pPr>
        <w:numPr>
          <w:ilvl w:val="0"/>
          <w:numId w:val="1002"/>
        </w:numPr>
      </w:pPr>
      <w:r>
        <w:rPr>
          <w:bCs/>
          <w:b/>
        </w:rPr>
        <w:t xml:space="preserve">Collect Data (Primary/Secondary data points):</w:t>
      </w:r>
    </w:p>
    <w:p>
      <w:pPr>
        <w:numPr>
          <w:ilvl w:val="0"/>
          <w:numId w:val="1000"/>
        </w:numPr>
      </w:pPr>
      <w:r>
        <w:t xml:space="preserve">Data collection involved utilizing a detailed Bill of Materials (BOM) for high-accuracy material impact, specific logistics data, and customized energy consumption figures for the production phase. Industry-standard secondary emission factors (e.g., from Ecoinvent/DEFRA, IEA, EPA, GLEC) were applied for processes where primary data was unavailable, ensuring robust calculations.</w:t>
      </w:r>
    </w:p>
    <w:p>
      <w:pPr>
        <w:numPr>
          <w:ilvl w:val="0"/>
          <w:numId w:val="1002"/>
        </w:numPr>
      </w:pPr>
      <w:r>
        <w:rPr>
          <w:bCs/>
          <w:b/>
        </w:rPr>
        <w:t xml:space="preserve">Calculate Emissions (Activity * Emission Factor = CO2e):</w:t>
      </w:r>
    </w:p>
    <w:p>
      <w:pPr>
        <w:numPr>
          <w:ilvl w:val="0"/>
          <w:numId w:val="1000"/>
        </w:numPr>
      </w:pPr>
      <w:r>
        <w:t xml:space="preserve">Emissions were calculated by multiplying activity data (e.g., material quantity, energy consumption, transport distance) by corresponding emission factors, expressed in kg CO2e (carbon dioxide equivalent).</w:t>
      </w:r>
    </w:p>
    <w:p>
      <w:pPr>
        <w:numPr>
          <w:ilvl w:val="0"/>
          <w:numId w:val="1002"/>
        </w:numPr>
      </w:pPr>
      <w:r>
        <w:rPr>
          <w:bCs/>
          <w:b/>
        </w:rPr>
        <w:t xml:space="preserve">Review &amp; Report (Hotspots and reliability):</w:t>
      </w:r>
    </w:p>
    <w:p>
      <w:pPr>
        <w:numPr>
          <w:ilvl w:val="0"/>
          <w:numId w:val="1000"/>
        </w:numPr>
      </w:pPr>
      <w:r>
        <w:t xml:space="preserve">The calculated emissions were reviewed to identify key hotspots across the product\'s lifecycle. Reliability of the data sources and assumptions was assessed, and recommendations for further data collection and emission reduction strategies were formulated.</w:t>
      </w:r>
    </w:p>
    <w:p>
      <w:r>
        <w:pict>
          <v:rect style="width:0;height:1.5pt" o:hralign="center" o:hrstd="t" o:hr="t"/>
        </w:pict>
      </w:r>
    </w:p>
    <w:bookmarkEnd w:id="26"/>
    <w:bookmarkStart w:id="32" w:name="Xf39361586072c690ae2d7f63a256a6c7264c244"/>
    <w:p>
      <w:pPr>
        <w:pStyle w:val="Heading2"/>
      </w:pPr>
      <w:r>
        <w:t xml:space="preserve">4. Detailed Breakdown of Lifecycle Stages and Data Inputs (Steps 2 &amp; 3)</w:t>
      </w:r>
    </w:p>
    <w:bookmarkStart w:id="27" w:name="bill-of-materials-bom-for-xjzlemshrx"/>
    <w:p>
      <w:pPr>
        <w:pStyle w:val="Heading3"/>
      </w:pPr>
      <w:r>
        <w:t xml:space="preserve">4.1. Bill of Materials (BOM) for xjzlemshrx</w:t>
      </w:r>
    </w:p>
    <w:p>
      <w:pPr>
        <w:pStyle w:val="FirstParagraph"/>
      </w:pPr>
      <w:r>
        <w:t xml:space="preserve">The following table provides the detailed Bill of Materials for \'xjzlemshrx\', including quantities, units, and the calculated carbon impact for each component. These values are crucial for an accurate upstream (Scope 3) emissions assessment.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Plastic Components (HDPE)</w:t>
            </w:r>
          </w:p>
        </w:tc>
        <w:tc>
          <w:tcPr/>
          <w:p>
            <w:pPr>
              <w:pStyle w:val="Compact"/>
              <w:jc w:val="left"/>
            </w:pPr>
            <w:r>
              <w:t xml:space="preserve">Polymer</w:t>
            </w:r>
          </w:p>
        </w:tc>
        <w:tc>
          <w:tcPr/>
          <w:p>
            <w:pPr>
              <w:pStyle w:val="Compact"/>
              <w:jc w:val="left"/>
            </w:pPr>
            <w:r>
              <w:t xml:space="preserve">Granule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&amp; Refining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Recycled Fibre Prod.</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6"/>
          </w:tcPr>
          <w:p>
            <w:pPr>
              <w:pStyle w:val="Compact"/>
              <w:jc w:val="left"/>
            </w:pPr>
            <w:r>
              <w:t xml:space="preserve">Total Material Mass / Estimated Product Weight</w:t>
            </w:r>
          </w:p>
        </w:tc>
        <w:tc>
          <w:tcPr/>
          <w:p>
            <w:pPr>
              <w:pStyle w:val="Compact"/>
            </w:pPr>
          </w:p>
        </w:tc>
        <w:tc>
          <w:tcPr/>
          <w:p>
            <w:pPr>
              <w:pStyle w:val="Compact"/>
              <w:jc w:val="left"/>
            </w:pPr>
            <w:r>
              <w:t xml:space="preserve">~2.05 kg</w:t>
            </w:r>
          </w:p>
        </w:tc>
      </w:tr>
    </w:tbl>
    <w:p>
      <w:pPr>
        <w:pStyle w:val="BodyText"/>
      </w:pPr>
      <w:r>
        <w:rPr>
          <w:iCs/>
          <w:i/>
        </w:rPr>
        <w:t xml:space="preserve">Note: The "Total Carbon" values in the BOM are used directly for material impact calculation. Estimated product weight (for transport and EoL) is the sum of material quantities.</w:t>
      </w:r>
    </w:p>
    <w:bookmarkEnd w:id="27"/>
    <w:bookmarkStart w:id="28" w:name="energy-inputs-production-phase"/>
    <w:p>
      <w:pPr>
        <w:pStyle w:val="Heading3"/>
      </w:pPr>
      <w:r>
        <w:t xml:space="preserve">4.2. Energy Inputs (Production Phase)</w:t>
      </w:r>
    </w:p>
    <w:p>
      <w:pPr>
        <w:numPr>
          <w:ilvl w:val="0"/>
          <w:numId w:val="1003"/>
        </w:numPr>
        <w:pStyle w:val="Compact"/>
      </w:pPr>
      <w:r>
        <w:rPr>
          <w:bCs/>
          <w:b/>
        </w:rPr>
        <w:t xml:space="preserve">Energy Intensity (kWh/unit):</w:t>
      </w:r>
      <w:r>
        <w:t xml:space="preserve"> </w:t>
      </w:r>
      <w:r>
        <w:t xml:space="preserve">kwifrvuujm (e.g., 50 kWh/unit for illustrative purposes).</w:t>
      </w:r>
    </w:p>
    <w:p>
      <w:pPr>
        <w:numPr>
          <w:ilvl w:val="0"/>
          <w:numId w:val="1003"/>
        </w:numPr>
        <w:pStyle w:val="Compact"/>
      </w:pPr>
      <w:r>
        <w:rPr>
          <w:bCs/>
          <w:b/>
        </w:rPr>
        <w:t xml:space="preserve">Renewable Energy Usage:</w:t>
      </w:r>
      <w:r>
        <w:t xml:space="preserve"> </w:t>
      </w:r>
      <w:r>
        <w:t xml:space="preserve">swxuzjudgk (e.g., 20% of purchased electricity is from renewable sources).</w:t>
      </w:r>
    </w:p>
    <w:p>
      <w:pPr>
        <w:numPr>
          <w:ilvl w:val="0"/>
          <w:numId w:val="1003"/>
        </w:numPr>
        <w:pStyle w:val="Compact"/>
      </w:pPr>
      <w:r>
        <w:rPr>
          <w:bCs/>
          <w:b/>
        </w:rPr>
        <w:t xml:space="preserve">Electricity Grid Emission Factor (China):</w:t>
      </w:r>
      <w:r>
        <w:t xml:space="preserve"> </w:t>
      </w:r>
      <w:r>
        <w:t xml:space="preserve">0.6205 kgCO2e/kWh (National Average Electricity Carbon Footprint Factor 2023).</w:t>
      </w:r>
    </w:p>
    <w:p>
      <w:pPr>
        <w:numPr>
          <w:ilvl w:val="0"/>
          <w:numId w:val="1003"/>
        </w:numPr>
        <w:pStyle w:val="Compact"/>
      </w:pPr>
      <w:r>
        <w:rPr>
          <w:bCs/>
          <w:b/>
        </w:rPr>
        <w:t xml:space="preserve">Non-renewable electricity consumed:</w:t>
      </w:r>
      <w:r>
        <w:t xml:space="preserve"> </w:t>
      </w:r>
      <w:r>
        <w:t xml:space="preserve">kwifrvuujm * (1 - swxuzjudgk) = 50 kWh/unit * (1 - 0.20) = 40 kWh/unit.</w:t>
      </w:r>
    </w:p>
    <w:bookmarkEnd w:id="28"/>
    <w:bookmarkStart w:id="29" w:name="transport-logistics-data"/>
    <w:p>
      <w:pPr>
        <w:pStyle w:val="Heading3"/>
      </w:pPr>
      <w:r>
        <w:t xml:space="preserve">4.3. Transport Logistics Data</w:t>
      </w:r>
    </w:p>
    <w:p>
      <w:pPr>
        <w:numPr>
          <w:ilvl w:val="0"/>
          <w:numId w:val="1004"/>
        </w:numPr>
        <w:pStyle w:val="Compact"/>
      </w:pPr>
      <w:r>
        <w:rPr>
          <w:bCs/>
          <w:b/>
        </w:rPr>
        <w:t xml:space="preserve">Transport Mode (Inbound Raw Materials - Europe to China):</w:t>
      </w:r>
      <w:r>
        <w:t xml:space="preserve"> </w:t>
      </w:r>
      <w:r>
        <w:t xml:space="preserve">Select Mode (e.g., Sea Freight for bulk materials).</w:t>
      </w:r>
    </w:p>
    <w:p>
      <w:pPr>
        <w:numPr>
          <w:ilvl w:val="0"/>
          <w:numId w:val="1004"/>
        </w:numPr>
        <w:pStyle w:val="Compact"/>
      </w:pPr>
      <w:r>
        <w:rPr>
          <w:bCs/>
          <w:b/>
        </w:rPr>
        <w:t xml:space="preserve">Transport Distance (Inbound):</w:t>
      </w:r>
      <w:r>
        <w:t xml:space="preserve"> </w:t>
      </w:r>
      <w:r>
        <w:t xml:space="preserve">hoodfkjpow (e.g., 10,000 km).</w:t>
      </w:r>
    </w:p>
    <w:p>
      <w:pPr>
        <w:numPr>
          <w:ilvl w:val="0"/>
          <w:numId w:val="1004"/>
        </w:numPr>
        <w:pStyle w:val="Compact"/>
      </w:pPr>
      <w:r>
        <w:rPr>
          <w:bCs/>
          <w:b/>
        </w:rPr>
        <w:t xml:space="preserve">Transport Mode (Outbound Finished Product - China to Europe):</w:t>
      </w:r>
      <w:r>
        <w:t xml:space="preserve"> </w:t>
      </w:r>
      <w:r>
        <w:t xml:space="preserve">Select Mode (e.g., Sea Freight).</w:t>
      </w:r>
    </w:p>
    <w:p>
      <w:pPr>
        <w:numPr>
          <w:ilvl w:val="0"/>
          <w:numId w:val="1004"/>
        </w:numPr>
        <w:pStyle w:val="Compact"/>
      </w:pPr>
      <w:r>
        <w:rPr>
          <w:bCs/>
          <w:b/>
        </w:rPr>
        <w:t xml:space="preserve">Transport Distance (Outbound):</w:t>
      </w:r>
      <w:r>
        <w:t xml:space="preserve"> </w:t>
      </w:r>
      <w:r>
        <w:t xml:space="preserve">hoodfkjpow (e.g., 10,000 km).</w:t>
      </w:r>
    </w:p>
    <w:p>
      <w:pPr>
        <w:numPr>
          <w:ilvl w:val="0"/>
          <w:numId w:val="1004"/>
        </w:numPr>
        <w:pStyle w:val="Compact"/>
      </w:pPr>
      <w:r>
        <w:rPr>
          <w:bCs/>
          <w:b/>
        </w:rPr>
        <w:t xml:space="preserve">Last-Mile Delivery Channel (Europe):</w:t>
      </w:r>
      <w:r>
        <w:t xml:space="preserve"> </w:t>
      </w:r>
      <w:r>
        <w:t xml:space="preserve">Delivery Type (e.g., Road Freight (HGV)).</w:t>
      </w:r>
    </w:p>
    <w:p>
      <w:pPr>
        <w:numPr>
          <w:ilvl w:val="0"/>
          <w:numId w:val="1004"/>
        </w:numPr>
        <w:pStyle w:val="Compact"/>
      </w:pPr>
      <w:r>
        <w:rPr>
          <w:bCs/>
          <w:b/>
        </w:rPr>
        <w:t xml:space="preserve">Last-Mile Delivery Distance:</w:t>
      </w:r>
      <w:r>
        <w:t xml:space="preserve"> </w:t>
      </w:r>
      <w:r>
        <w:t xml:space="preserve">hoodfkjpow (e.g., 500 km).</w:t>
      </w:r>
    </w:p>
    <w:p>
      <w:pPr>
        <w:numPr>
          <w:ilvl w:val="0"/>
          <w:numId w:val="1004"/>
        </w:numPr>
        <w:pStyle w:val="Compact"/>
      </w:pPr>
      <w:r>
        <w:rPr>
          <w:bCs/>
          <w:b/>
        </w:rPr>
        <w:t xml:space="preserve">Product Weight for Transport:</w:t>
      </w:r>
      <w:r>
        <w:t xml:space="preserve"> </w:t>
      </w:r>
      <w:r>
        <w:t xml:space="preserve">~2.05 kg/unit (from BOM total mass).</w:t>
      </w:r>
    </w:p>
    <w:p>
      <w:pPr>
        <w:numPr>
          <w:ilvl w:val="0"/>
          <w:numId w:val="1004"/>
        </w:numPr>
        <w:pStyle w:val="Compact"/>
      </w:pPr>
      <w:r>
        <w:rPr>
          <w:bCs/>
          <w:b/>
        </w:rPr>
        <w:t xml:space="preserve">Emission Factor - Sea Freight (Container ship dry):</w:t>
      </w:r>
      <w:r>
        <w:t xml:space="preserve"> </w:t>
      </w:r>
      <w:r>
        <w:t xml:space="preserve">0.02 kgCO2e/tonne-km (approx. 20 gCO2e/tonne-km).</w:t>
      </w:r>
    </w:p>
    <w:p>
      <w:pPr>
        <w:numPr>
          <w:ilvl w:val="0"/>
          <w:numId w:val="1004"/>
        </w:numPr>
        <w:pStyle w:val="Compact"/>
      </w:pPr>
      <w:r>
        <w:rPr>
          <w:bCs/>
          <w:b/>
        </w:rPr>
        <w:t xml:space="preserve">Emission Factor - Road Freight (HGV &gt;20t, Europe):</w:t>
      </w:r>
      <w:r>
        <w:t xml:space="preserve"> </w:t>
      </w:r>
      <w:r>
        <w:t xml:space="preserve">0.092 kgCO2e/tonne-km.</w:t>
      </w:r>
    </w:p>
    <w:p>
      <w:pPr>
        <w:numPr>
          <w:ilvl w:val="0"/>
          <w:numId w:val="1004"/>
        </w:numPr>
        <w:pStyle w:val="Compact"/>
      </w:pPr>
      <w:r>
        <w:rPr>
          <w:bCs/>
          <w:b/>
        </w:rPr>
        <w:t xml:space="preserve">Emission Factor - Road Freight (General, Last Mile):</w:t>
      </w:r>
      <w:r>
        <w:t xml:space="preserve"> </w:t>
      </w:r>
      <w:r>
        <w:t xml:space="preserve">0.08 kgCO2e/tonne-km (illustrative, general average).</w:t>
      </w:r>
    </w:p>
    <w:bookmarkEnd w:id="29"/>
    <w:bookmarkStart w:id="30" w:name="use-phase-data"/>
    <w:p>
      <w:pPr>
        <w:pStyle w:val="Heading3"/>
      </w:pPr>
      <w:r>
        <w:t xml:space="preserve">4.4. Use Phase Data</w:t>
      </w:r>
    </w:p>
    <w:p>
      <w:pPr>
        <w:numPr>
          <w:ilvl w:val="0"/>
          <w:numId w:val="1005"/>
        </w:numPr>
        <w:pStyle w:val="Compact"/>
      </w:pPr>
      <w:r>
        <w:rPr>
          <w:bCs/>
          <w:b/>
        </w:rPr>
        <w:t xml:space="preserve">Product Lifespan:</w:t>
      </w:r>
      <w:r>
        <w:t xml:space="preserve"> </w:t>
      </w:r>
      <w:r>
        <w:t xml:space="preserve">jpmvdussem (e.g., 5 years).</w:t>
      </w:r>
    </w:p>
    <w:p>
      <w:pPr>
        <w:numPr>
          <w:ilvl w:val="0"/>
          <w:numId w:val="1005"/>
        </w:numPr>
        <w:pStyle w:val="Compact"/>
      </w:pPr>
      <w:r>
        <w:rPr>
          <w:bCs/>
          <w:b/>
        </w:rPr>
        <w:t xml:space="preserve">Energy Consumption in Use (ioyrduhzij):</w:t>
      </w:r>
      <w:r>
        <w:t xml:space="preserve"> </w:t>
      </w:r>
      <w:r>
        <w:t xml:space="preserve">e.g., 10 kWh/year.</w:t>
      </w:r>
    </w:p>
    <w:p>
      <w:pPr>
        <w:numPr>
          <w:ilvl w:val="0"/>
          <w:numId w:val="1005"/>
        </w:numPr>
        <w:pStyle w:val="Compact"/>
      </w:pPr>
      <w:r>
        <w:rPr>
          <w:bCs/>
          <w:b/>
        </w:rPr>
        <w:t xml:space="preserve">Electricity Grid Emission Factor (European Average):</w:t>
      </w:r>
      <w:r>
        <w:t xml:space="preserve"> </w:t>
      </w:r>
      <w:r>
        <w:t xml:space="preserve">0.25 kgCO2e/kWh (illustrative average for European electricity mix).</w:t>
      </w:r>
    </w:p>
    <w:bookmarkEnd w:id="30"/>
    <w:bookmarkStart w:id="31" w:name="end-of-life-eol-scenarios"/>
    <w:p>
      <w:pPr>
        <w:pStyle w:val="Heading3"/>
      </w:pPr>
      <w:r>
        <w:t xml:space="preserve">4.5. End-of-Life (EoL) Scenarios</w:t>
      </w:r>
    </w:p>
    <w:p>
      <w:pPr>
        <w:numPr>
          <w:ilvl w:val="0"/>
          <w:numId w:val="1006"/>
        </w:numPr>
        <w:pStyle w:val="Compact"/>
      </w:pPr>
      <w:r>
        <w:rPr>
          <w:bCs/>
          <w:b/>
        </w:rPr>
        <w:t xml:space="preserve">Recyclability Percentage:</w:t>
      </w:r>
      <w:r>
        <w:t xml:space="preserve"> </w:t>
      </w:r>
      <w:r>
        <w:t xml:space="preserve">wfkssenvpo (e.g., 70% of total product mass).</w:t>
      </w:r>
    </w:p>
    <w:p>
      <w:pPr>
        <w:numPr>
          <w:ilvl w:val="0"/>
          <w:numId w:val="1006"/>
        </w:numPr>
        <w:pStyle w:val="Compact"/>
      </w:pPr>
      <w:r>
        <w:rPr>
          <w:bCs/>
          <w:b/>
        </w:rPr>
        <w:t xml:space="preserve">Circular/Take-back Programs:</w:t>
      </w:r>
      <w:r>
        <w:t xml:space="preserve"> </w:t>
      </w:r>
      <w:r>
        <w:t xml:space="preserve">enjqjxpong (e.g., Company has established take-back programs to facilitate recycling and proper disposal).</w:t>
      </w:r>
    </w:p>
    <w:p>
      <w:pPr>
        <w:numPr>
          <w:ilvl w:val="0"/>
          <w:numId w:val="1006"/>
        </w:numPr>
        <w:pStyle w:val="Compact"/>
      </w:pPr>
      <w:r>
        <w:rPr>
          <w:bCs/>
          <w:b/>
        </w:rPr>
        <w:t xml:space="preserve">Generic Landfill Emission Factor:</w:t>
      </w:r>
      <w:r>
        <w:t xml:space="preserve"> </w:t>
      </w:r>
      <w:r>
        <w:t xml:space="preserve">0.5 kgCO2e/kg (for non-recyclable waste).</w:t>
      </w:r>
    </w:p>
    <w:p>
      <w:pPr>
        <w:numPr>
          <w:ilvl w:val="0"/>
          <w:numId w:val="1006"/>
        </w:numPr>
        <w:pStyle w:val="Compact"/>
      </w:pPr>
      <w:r>
        <w:rPr>
          <w:bCs/>
          <w:b/>
        </w:rPr>
        <w:t xml:space="preserve">Generic Recycling Credit Factor:</w:t>
      </w:r>
      <w:r>
        <w:t xml:space="preserve"> </w:t>
      </w:r>
      <w:r>
        <w:t xml:space="preserve">-1.0 kgCO2e/kg (for recycled material, representing avoided virgin production).</w:t>
      </w:r>
    </w:p>
    <w:p>
      <w:r>
        <w:pict>
          <v:rect style="width:0;height:1.5pt" o:hralign="center" o:hrstd="t" o:hr="t"/>
        </w:pict>
      </w:r>
    </w:p>
    <w:bookmarkEnd w:id="31"/>
    <w:bookmarkEnd w:id="32"/>
    <w:bookmarkStart w:id="41" w:name="X9f9b4793991d46ffda9fd6721cb4f2c377059b0"/>
    <w:p>
      <w:pPr>
        <w:pStyle w:val="Heading2"/>
      </w:pPr>
      <w:r>
        <w:t xml:space="preserve">5. Emissions Calculation and GHG Protocol Categorization (Step 4)</w:t>
      </w:r>
    </w:p>
    <w:p>
      <w:pPr>
        <w:pStyle w:val="FirstParagraph"/>
      </w:pPr>
      <w:r>
        <w:t xml:space="preserve">The total carbon footprint for one functional unit of \'xjzlemshrx\' is calculated by summing the emissions from each lifecycle stage, categorized according to the GHG Protocol Scopes.</w:t>
      </w:r>
    </w:p>
    <w:bookmarkStart w:id="33" w:name="scope-1-direct-ghg-emissions"/>
    <w:p>
      <w:pPr>
        <w:pStyle w:val="Heading3"/>
      </w:pPr>
      <w:r>
        <w:t xml:space="preserve">5.1. Scope 1: Direct GHG Emissions</w:t>
      </w:r>
    </w:p>
    <w:p>
      <w:pPr>
        <w:pStyle w:val="FirstParagraph"/>
      </w:pPr>
      <w:r>
        <w:t xml:space="preserve">For a product carbon footprint from a \'factory_gate\' perspective, direct GHG emissions (e.g., from on-site fuel combustion for manufacturing processes) are typically minimal or zero unless specific direct emissions are attributed to the product\'s production. In this analysis, no explicit Scope 1 emissions were provided, and therefore, for this PCF, direct manufacturing emissions are assumed to be negligible or covered under the manufacturing electricity.</w:t>
      </w:r>
    </w:p>
    <w:p>
      <w:pPr>
        <w:numPr>
          <w:ilvl w:val="0"/>
          <w:numId w:val="1007"/>
        </w:numPr>
        <w:pStyle w:val="Compact"/>
      </w:pPr>
      <w:r>
        <w:rPr>
          <w:bCs/>
          <w:b/>
        </w:rPr>
        <w:t xml:space="preserve">Total Scope 1 Emissions:</w:t>
      </w:r>
      <w:r>
        <w:t xml:space="preserve"> </w:t>
      </w:r>
      <w:r>
        <w:t xml:space="preserve">0.00 kgCO2e</w:t>
      </w:r>
    </w:p>
    <w:bookmarkEnd w:id="33"/>
    <w:bookmarkStart w:id="34" w:name="X6b01387f66089f799ff28a4888a18f676ee9f32"/>
    <w:p>
      <w:pPr>
        <w:pStyle w:val="Heading3"/>
      </w:pPr>
      <w:r>
        <w:t xml:space="preserve">5.2. Scope 2: Indirect GHG Emissions from Purchased Energy</w:t>
      </w:r>
    </w:p>
    <w:p>
      <w:pPr>
        <w:pStyle w:val="FirstParagraph"/>
      </w:pPr>
      <w:r>
        <w:t xml:space="preserve">These emissions result from the generation of purchased electricity consumed during the manufacturing of \'xjzlemshrx\' in China.</w:t>
      </w:r>
    </w:p>
    <w:p>
      <w:pPr>
        <w:pStyle w:val="BodyText"/>
      </w:pPr>
      <w:r>
        <w:rPr>
          <w:bCs/>
          <w:b/>
        </w:rPr>
        <w:t xml:space="preserve">Calculation:</w:t>
      </w:r>
      <w:r>
        <w:t xml:space="preserve"> </w:t>
      </w:r>
      <w:r>
        <w:t xml:space="preserve">(Energy Intensity per unit * (1 - Renewable Energy Usage)) * Electricity Grid Emission Factor (China)</w:t>
      </w:r>
    </w:p>
    <w:p>
      <w:pPr>
        <w:numPr>
          <w:ilvl w:val="0"/>
          <w:numId w:val="1008"/>
        </w:numPr>
        <w:pStyle w:val="Compact"/>
      </w:pPr>
      <w:r>
        <w:rPr>
          <w:bCs/>
          <w:b/>
        </w:rPr>
        <w:t xml:space="preserve">Energy Consumption (non-renewable):</w:t>
      </w:r>
      <w:r>
        <w:t xml:space="preserve"> </w:t>
      </w:r>
      <w:r>
        <w:t xml:space="preserve">40 kWh/unit</w:t>
      </w:r>
    </w:p>
    <w:p>
      <w:pPr>
        <w:numPr>
          <w:ilvl w:val="0"/>
          <w:numId w:val="1008"/>
        </w:numPr>
        <w:pStyle w:val="Compact"/>
      </w:pPr>
      <w:r>
        <w:rPr>
          <w:bCs/>
          <w:b/>
        </w:rPr>
        <w:t xml:space="preserve">Electricity Grid Emission Factor (China):</w:t>
      </w:r>
      <w:r>
        <w:t xml:space="preserve"> </w:t>
      </w:r>
      <w:r>
        <w:t xml:space="preserve">0.6205 kgCO2e/kWh</w:t>
      </w:r>
    </w:p>
    <w:p>
      <w:pPr>
        <w:numPr>
          <w:ilvl w:val="0"/>
          <w:numId w:val="1008"/>
        </w:numPr>
        <w:pStyle w:val="Compact"/>
      </w:pPr>
      <w:r>
        <w:rPr>
          <w:bCs/>
          <w:b/>
        </w:rPr>
        <w:t xml:space="preserve">Total Scope 2 Emissions:</w:t>
      </w:r>
      <w:r>
        <w:t xml:space="preserve"> </w:t>
      </w:r>
      <w:r>
        <w:t xml:space="preserve">40 kWh/unit * 0.6205 kgCO2e/kWh = 24.82 kgCO2e</w:t>
      </w:r>
    </w:p>
    <w:bookmarkEnd w:id="34"/>
    <w:bookmarkStart w:id="37" w:name="X87297756d726aa51a7f4c6b0bd300fdfb4bdf9a"/>
    <w:p>
      <w:pPr>
        <w:pStyle w:val="Heading3"/>
      </w:pPr>
      <w:r>
        <w:t xml:space="preserve">5.3. Scope 3: Other Indirect GHG Emissions (Value Chain)</w:t>
      </w:r>
    </w:p>
    <w:p>
      <w:pPr>
        <w:pStyle w:val="FirstParagraph"/>
      </w:pPr>
      <w:r>
        <w:t xml:space="preserve">Scope 3 emissions represent the largest portion of the product\'s footprint, covering upstream and downstream activities.</w:t>
      </w:r>
    </w:p>
    <w:bookmarkStart w:id="35" w:name="X3a9298dd719e81bdf43f02bbf3372149fd527be"/>
    <w:p>
      <w:pPr>
        <w:pStyle w:val="Heading4"/>
      </w:pPr>
      <w:r>
        <w:t xml:space="preserve">5.3.1. Upstream Emissions (Purchased Goods &amp; Services, Transport)</w:t>
      </w:r>
    </w:p>
    <w:p>
      <w:pPr>
        <w:numPr>
          <w:ilvl w:val="0"/>
          <w:numId w:val="1009"/>
        </w:numPr>
        <w:pStyle w:val="Compact"/>
      </w:pPr>
      <w:r>
        <w:rPr>
          <w:bCs/>
          <w:b/>
        </w:rPr>
        <w:t xml:space="preserve">Category 1: Purchased Goods and Services (Materials)</w:t>
      </w:r>
    </w:p>
    <w:p>
      <w:pPr>
        <w:numPr>
          <w:ilvl w:val="1"/>
          <w:numId w:val="1010"/>
        </w:numPr>
        <w:pStyle w:val="Compact"/>
      </w:pPr>
      <w:r>
        <w:rPr>
          <w:bCs/>
          <w:b/>
        </w:rPr>
        <w:t xml:space="preserve">Total Carbon from BOM:</w:t>
      </w:r>
      <w:r>
        <w:t xml:space="preserve"> </w:t>
      </w:r>
      <w:r>
        <w:t xml:space="preserve">Sum of \'Total Carbon\' column = 6.00 + 1.00 + 0.80 + 2.00 + 1.50 + 0.21 = 11.51 kgCO2e</w:t>
      </w:r>
    </w:p>
    <w:p>
      <w:pPr>
        <w:numPr>
          <w:ilvl w:val="0"/>
          <w:numId w:val="1009"/>
        </w:numPr>
      </w:pPr>
      <w:r>
        <w:rPr>
          <w:bCs/>
          <w:b/>
        </w:rPr>
        <w:t xml:space="preserve">Category 4: Upstream Transportation and Distribution (Raw Materials)</w:t>
      </w:r>
    </w:p>
    <w:p>
      <w:pPr>
        <w:numPr>
          <w:ilvl w:val="0"/>
          <w:numId w:val="1000"/>
        </w:numPr>
      </w:pPr>
      <w:r>
        <w:t xml:space="preserve">Assuming inbound transport of 2.05 kg of raw materials from Europe to China via sea freight:</w:t>
      </w:r>
    </w:p>
    <w:p>
      <w:pPr>
        <w:numPr>
          <w:ilvl w:val="1"/>
          <w:numId w:val="1011"/>
        </w:numPr>
        <w:pStyle w:val="Compact"/>
      </w:pPr>
      <w:r>
        <w:rPr>
          <w:bCs/>
          <w:b/>
        </w:rPr>
        <w:t xml:space="preserve">Weight:</w:t>
      </w:r>
      <w:r>
        <w:t xml:space="preserve"> </w:t>
      </w:r>
      <w:r>
        <w:t xml:space="preserve">0.00205 tonnes (2.05 kg)</w:t>
      </w:r>
    </w:p>
    <w:p>
      <w:pPr>
        <w:numPr>
          <w:ilvl w:val="1"/>
          <w:numId w:val="1011"/>
        </w:numPr>
        <w:pStyle w:val="Compact"/>
      </w:pPr>
      <w:r>
        <w:rPr>
          <w:bCs/>
          <w:b/>
        </w:rPr>
        <w:t xml:space="preserve">Distance:</w:t>
      </w:r>
      <w:r>
        <w:t xml:space="preserve"> </w:t>
      </w:r>
      <w:r>
        <w:t xml:space="preserve">10,000 km (hoodfkjpow)</w:t>
      </w:r>
    </w:p>
    <w:p>
      <w:pPr>
        <w:numPr>
          <w:ilvl w:val="1"/>
          <w:numId w:val="1011"/>
        </w:numPr>
        <w:pStyle w:val="Compact"/>
      </w:pPr>
      <w:r>
        <w:rPr>
          <w:bCs/>
          <w:b/>
        </w:rPr>
        <w:t xml:space="preserve">Emission Factor (Sea Freight):</w:t>
      </w:r>
      <w:r>
        <w:t xml:space="preserve"> </w:t>
      </w:r>
      <w:r>
        <w:t xml:space="preserve">0.02 kgCO2e/tonne-km</w:t>
      </w:r>
    </w:p>
    <w:p>
      <w:pPr>
        <w:numPr>
          <w:ilvl w:val="1"/>
          <w:numId w:val="1011"/>
        </w:numPr>
        <w:pStyle w:val="Compact"/>
      </w:pPr>
      <w:r>
        <w:rPr>
          <w:bCs/>
          <w:b/>
        </w:rPr>
        <w:t xml:space="preserve">Total Upstream Transport Emissions:</w:t>
      </w:r>
      <w:r>
        <w:t xml:space="preserve"> </w:t>
      </w:r>
      <w:r>
        <w:t xml:space="preserve">0.00205 tonnes * 10,000 km * 0.02 kgCO2e/tonne-km = 0.41 kgCO2e</w:t>
      </w:r>
    </w:p>
    <w:p>
      <w:pPr>
        <w:pStyle w:val="FirstParagraph"/>
      </w:pPr>
      <w:r>
        <w:rPr>
          <w:bCs/>
          <w:b/>
        </w:rPr>
        <w:t xml:space="preserve">Total Upstream Scope 3 Emissions:</w:t>
      </w:r>
      <w:r>
        <w:t xml:space="preserve"> </w:t>
      </w:r>
      <w:r>
        <w:t xml:space="preserve">11.51 kgCO2e (Materials) + 0.41 kgCO2e (Upstream Transport) = 11.92 kgCO2e</w:t>
      </w:r>
    </w:p>
    <w:bookmarkEnd w:id="35"/>
    <w:bookmarkStart w:id="36" w:name="Xb25e1ee76f43d79556eb79462119fa5ac2a1302"/>
    <w:p>
      <w:pPr>
        <w:pStyle w:val="Heading4"/>
      </w:pPr>
      <w:r>
        <w:t xml:space="preserve">5.3.2. Downstream Emissions (Transportation, Use, End-of-Life)</w:t>
      </w:r>
    </w:p>
    <w:p>
      <w:pPr>
        <w:numPr>
          <w:ilvl w:val="0"/>
          <w:numId w:val="1012"/>
        </w:numPr>
      </w:pPr>
      <w:r>
        <w:rPr>
          <w:bCs/>
          <w:b/>
        </w:rPr>
        <w:t xml:space="preserve">Category 9: Downstream Transportation and Distribution (Finished Product)</w:t>
      </w:r>
    </w:p>
    <w:p>
      <w:pPr>
        <w:numPr>
          <w:ilvl w:val="0"/>
          <w:numId w:val="1000"/>
        </w:numPr>
      </w:pPr>
      <w:r>
        <w:t xml:space="preserve">Assuming outbound transport of 2.05 kg finished product from China to Europe via sea freight, and last-mile delivery in Europe via road freight.</w:t>
      </w:r>
    </w:p>
    <w:p>
      <w:pPr>
        <w:numPr>
          <w:ilvl w:val="1"/>
          <w:numId w:val="1013"/>
        </w:numPr>
        <w:pStyle w:val="Compact"/>
      </w:pPr>
      <w:r>
        <w:rPr>
          <w:bCs/>
          <w:b/>
        </w:rPr>
        <w:t xml:space="preserve">Sea Freight (China to Europe):</w:t>
      </w:r>
    </w:p>
    <w:p>
      <w:pPr>
        <w:numPr>
          <w:ilvl w:val="2"/>
          <w:numId w:val="1014"/>
        </w:numPr>
        <w:pStyle w:val="Compact"/>
      </w:pPr>
      <w:r>
        <w:rPr>
          <w:bCs/>
          <w:b/>
        </w:rPr>
        <w:t xml:space="preserve">Weight:</w:t>
      </w:r>
      <w:r>
        <w:t xml:space="preserve"> </w:t>
      </w:r>
      <w:r>
        <w:t xml:space="preserve">0.00205 tonnes</w:t>
      </w:r>
    </w:p>
    <w:p>
      <w:pPr>
        <w:numPr>
          <w:ilvl w:val="2"/>
          <w:numId w:val="1014"/>
        </w:numPr>
        <w:pStyle w:val="Compact"/>
      </w:pPr>
      <w:r>
        <w:rPr>
          <w:bCs/>
          <w:b/>
        </w:rPr>
        <w:t xml:space="preserve">Distance:</w:t>
      </w:r>
      <w:r>
        <w:t xml:space="preserve"> </w:t>
      </w:r>
      <w:r>
        <w:t xml:space="preserve">10,000 km (hoodfkjpow)</w:t>
      </w:r>
    </w:p>
    <w:p>
      <w:pPr>
        <w:numPr>
          <w:ilvl w:val="2"/>
          <w:numId w:val="1014"/>
        </w:numPr>
        <w:pStyle w:val="Compact"/>
      </w:pPr>
      <w:r>
        <w:rPr>
          <w:bCs/>
          <w:b/>
        </w:rPr>
        <w:t xml:space="preserve">Emission Factor (Sea Freight):</w:t>
      </w:r>
      <w:r>
        <w:t xml:space="preserve"> </w:t>
      </w:r>
      <w:r>
        <w:t xml:space="preserve">0.02 kgCO2e/tonne-km</w:t>
      </w:r>
    </w:p>
    <w:p>
      <w:pPr>
        <w:numPr>
          <w:ilvl w:val="2"/>
          <w:numId w:val="1014"/>
        </w:numPr>
        <w:pStyle w:val="Compact"/>
      </w:pPr>
      <w:r>
        <w:rPr>
          <w:bCs/>
          <w:b/>
        </w:rPr>
        <w:t xml:space="preserve">Emissions:</w:t>
      </w:r>
      <w:r>
        <w:t xml:space="preserve"> </w:t>
      </w:r>
      <w:r>
        <w:t xml:space="preserve">0.00205 tonnes * 10,000 km * 0.02 kgCO2e/tonne-km = 0.41 kgCO2e</w:t>
      </w:r>
    </w:p>
    <w:p>
      <w:pPr>
        <w:numPr>
          <w:ilvl w:val="1"/>
          <w:numId w:val="1013"/>
        </w:numPr>
        <w:pStyle w:val="Compact"/>
      </w:pPr>
      <w:r>
        <w:rPr>
          <w:bCs/>
          <w:b/>
        </w:rPr>
        <w:t xml:space="preserve">Road Freight (Last-Mile Delivery in Europe):</w:t>
      </w:r>
    </w:p>
    <w:p>
      <w:pPr>
        <w:numPr>
          <w:ilvl w:val="2"/>
          <w:numId w:val="1015"/>
        </w:numPr>
        <w:pStyle w:val="Compact"/>
      </w:pPr>
      <w:r>
        <w:rPr>
          <w:bCs/>
          <w:b/>
        </w:rPr>
        <w:t xml:space="preserve">Weight:</w:t>
      </w:r>
      <w:r>
        <w:t xml:space="preserve"> </w:t>
      </w:r>
      <w:r>
        <w:t xml:space="preserve">0.00205 tonnes</w:t>
      </w:r>
    </w:p>
    <w:p>
      <w:pPr>
        <w:numPr>
          <w:ilvl w:val="2"/>
          <w:numId w:val="1015"/>
        </w:numPr>
        <w:pStyle w:val="Compact"/>
      </w:pPr>
      <w:r>
        <w:rPr>
          <w:bCs/>
          <w:b/>
        </w:rPr>
        <w:t xml:space="preserve">Distance:</w:t>
      </w:r>
      <w:r>
        <w:t xml:space="preserve"> </w:t>
      </w:r>
      <w:r>
        <w:t xml:space="preserve">500 km (hoodfkjpow)</w:t>
      </w:r>
    </w:p>
    <w:p>
      <w:pPr>
        <w:numPr>
          <w:ilvl w:val="2"/>
          <w:numId w:val="1015"/>
        </w:numPr>
        <w:pStyle w:val="Compact"/>
      </w:pPr>
      <w:r>
        <w:rPr>
          <w:bCs/>
          <w:b/>
        </w:rPr>
        <w:t xml:space="preserve">Emission Factor (Road Freight - HGV):</w:t>
      </w:r>
      <w:r>
        <w:t xml:space="preserve"> </w:t>
      </w:r>
      <w:r>
        <w:t xml:space="preserve">0.092 kgCO2e/tonne-km</w:t>
      </w:r>
    </w:p>
    <w:p>
      <w:pPr>
        <w:numPr>
          <w:ilvl w:val="2"/>
          <w:numId w:val="1015"/>
        </w:numPr>
        <w:pStyle w:val="Compact"/>
      </w:pPr>
      <w:r>
        <w:rPr>
          <w:bCs/>
          <w:b/>
        </w:rPr>
        <w:t xml:space="preserve">Emissions:</w:t>
      </w:r>
      <w:r>
        <w:t xml:space="preserve"> </w:t>
      </w:r>
      <w:r>
        <w:t xml:space="preserve">0.00205 tonnes * 500 km * 0.092 kgCO2e/tonne-km = 0.0943 kgCO2e</w:t>
      </w:r>
    </w:p>
    <w:p>
      <w:pPr>
        <w:numPr>
          <w:ilvl w:val="1"/>
          <w:numId w:val="1013"/>
        </w:numPr>
        <w:pStyle w:val="Compact"/>
      </w:pPr>
      <w:r>
        <w:rPr>
          <w:bCs/>
          <w:b/>
        </w:rPr>
        <w:t xml:space="preserve">Total Downstream Transport Emissions:</w:t>
      </w:r>
      <w:r>
        <w:t xml:space="preserve"> </w:t>
      </w:r>
      <w:r>
        <w:t xml:space="preserve">0.41 + 0.0943 = 0.5043 kgCO2e</w:t>
      </w:r>
    </w:p>
    <w:p>
      <w:pPr>
        <w:numPr>
          <w:ilvl w:val="0"/>
          <w:numId w:val="1012"/>
        </w:numPr>
      </w:pPr>
      <w:r>
        <w:rPr>
          <w:bCs/>
          <w:b/>
        </w:rPr>
        <w:t xml:space="preserve">Category 11: Use of Sold Products</w:t>
      </w:r>
    </w:p>
    <w:p>
      <w:pPr>
        <w:numPr>
          <w:ilvl w:val="0"/>
          <w:numId w:val="1000"/>
        </w:numPr>
      </w:pPr>
      <w:r>
        <w:t xml:space="preserve">Calculated based on product lifespan and energy consumption during use, assuming an average European grid mix.</w:t>
      </w:r>
    </w:p>
    <w:p>
      <w:pPr>
        <w:numPr>
          <w:ilvl w:val="1"/>
          <w:numId w:val="1016"/>
        </w:numPr>
        <w:pStyle w:val="Compact"/>
      </w:pPr>
      <w:r>
        <w:rPr>
          <w:bCs/>
          <w:b/>
        </w:rPr>
        <w:t xml:space="preserve">Lifespan:</w:t>
      </w:r>
      <w:r>
        <w:t xml:space="preserve"> </w:t>
      </w:r>
      <w:r>
        <w:t xml:space="preserve">5 years (jpmvdussem)</w:t>
      </w:r>
    </w:p>
    <w:p>
      <w:pPr>
        <w:numPr>
          <w:ilvl w:val="1"/>
          <w:numId w:val="1016"/>
        </w:numPr>
        <w:pStyle w:val="Compact"/>
      </w:pPr>
      <w:r>
        <w:rPr>
          <w:bCs/>
          <w:b/>
        </w:rPr>
        <w:t xml:space="preserve">Energy Consumption in Use:</w:t>
      </w:r>
      <w:r>
        <w:t xml:space="preserve"> </w:t>
      </w:r>
      <w:r>
        <w:t xml:space="preserve">10 kWh/year (ioyrduhzij)</w:t>
      </w:r>
    </w:p>
    <w:p>
      <w:pPr>
        <w:numPr>
          <w:ilvl w:val="1"/>
          <w:numId w:val="1016"/>
        </w:numPr>
        <w:pStyle w:val="Compact"/>
      </w:pPr>
      <w:r>
        <w:rPr>
          <w:bCs/>
          <w:b/>
        </w:rPr>
        <w:t xml:space="preserve">Electricity Grid Emission Factor (Europe):</w:t>
      </w:r>
      <w:r>
        <w:t xml:space="preserve"> </w:t>
      </w:r>
      <w:r>
        <w:t xml:space="preserve">0.25 kgCO2e/kWh (illustrative)</w:t>
      </w:r>
    </w:p>
    <w:p>
      <w:pPr>
        <w:numPr>
          <w:ilvl w:val="1"/>
          <w:numId w:val="1016"/>
        </w:numPr>
        <w:pStyle w:val="Compact"/>
      </w:pPr>
      <w:r>
        <w:rPr>
          <w:bCs/>
          <w:b/>
        </w:rPr>
        <w:t xml:space="preserve">Total Use Phase Emissions:</w:t>
      </w:r>
      <w:r>
        <w:t xml:space="preserve"> </w:t>
      </w:r>
      <w:r>
        <w:t xml:space="preserve">5 years * 10 kWh/year * 0.25 kgCO2e/kWh = 12.50 kgCO2e</w:t>
      </w:r>
    </w:p>
    <w:p>
      <w:pPr>
        <w:numPr>
          <w:ilvl w:val="0"/>
          <w:numId w:val="1012"/>
        </w:numPr>
      </w:pPr>
      <w:r>
        <w:rPr>
          <w:bCs/>
          <w:b/>
        </w:rPr>
        <w:t xml:space="preserve">Category 12: End-of-Life Treatment of Sold Products</w:t>
      </w:r>
    </w:p>
    <w:p>
      <w:pPr>
        <w:numPr>
          <w:ilvl w:val="0"/>
          <w:numId w:val="1000"/>
        </w:numPr>
      </w:pPr>
      <w:r>
        <w:t xml:space="preserve">Calculated based on recyclability and disposal factors for the total product mass.</w:t>
      </w:r>
    </w:p>
    <w:p>
      <w:pPr>
        <w:numPr>
          <w:ilvl w:val="1"/>
          <w:numId w:val="1017"/>
        </w:numPr>
        <w:pStyle w:val="Compact"/>
      </w:pPr>
      <w:r>
        <w:rPr>
          <w:bCs/>
          <w:b/>
        </w:rPr>
        <w:t xml:space="preserve">Total Product Mass:</w:t>
      </w:r>
      <w:r>
        <w:t xml:space="preserve"> </w:t>
      </w:r>
      <w:r>
        <w:t xml:space="preserve">2.05 kg</w:t>
      </w:r>
    </w:p>
    <w:p>
      <w:pPr>
        <w:numPr>
          <w:ilvl w:val="1"/>
          <w:numId w:val="1017"/>
        </w:numPr>
        <w:pStyle w:val="Compact"/>
      </w:pPr>
      <w:r>
        <w:rPr>
          <w:bCs/>
          <w:b/>
        </w:rPr>
        <w:t xml:space="preserve">Recyclability Percentage:</w:t>
      </w:r>
      <w:r>
        <w:t xml:space="preserve"> </w:t>
      </w:r>
      <w:r>
        <w:t xml:space="preserve">70% (wfkssenvpo)</w:t>
      </w:r>
    </w:p>
    <w:p>
      <w:pPr>
        <w:numPr>
          <w:ilvl w:val="1"/>
          <w:numId w:val="1017"/>
        </w:numPr>
        <w:pStyle w:val="Compact"/>
      </w:pPr>
      <w:r>
        <w:rPr>
          <w:bCs/>
          <w:b/>
        </w:rPr>
        <w:t xml:space="preserve">Mass Recycled:</w:t>
      </w:r>
      <w:r>
        <w:t xml:space="preserve"> </w:t>
      </w:r>
      <w:r>
        <w:t xml:space="preserve">2.05 kg * 0.70 = 1.435 kg</w:t>
      </w:r>
    </w:p>
    <w:p>
      <w:pPr>
        <w:numPr>
          <w:ilvl w:val="1"/>
          <w:numId w:val="1017"/>
        </w:numPr>
        <w:pStyle w:val="Compact"/>
      </w:pPr>
      <w:r>
        <w:rPr>
          <w:bCs/>
          <w:b/>
        </w:rPr>
        <w:t xml:space="preserve">Mass Landfilled:</w:t>
      </w:r>
      <w:r>
        <w:t xml:space="preserve"> </w:t>
      </w:r>
      <w:r>
        <w:t xml:space="preserve">2.05 kg * (1 - 0.70) = 0.615 kg</w:t>
      </w:r>
    </w:p>
    <w:p>
      <w:pPr>
        <w:numPr>
          <w:ilvl w:val="1"/>
          <w:numId w:val="1017"/>
        </w:numPr>
        <w:pStyle w:val="Compact"/>
      </w:pPr>
      <w:r>
        <w:rPr>
          <w:bCs/>
          <w:b/>
        </w:rPr>
        <w:t xml:space="preserve">Emissions from Landfilling:</w:t>
      </w:r>
      <w:r>
        <w:t xml:space="preserve"> </w:t>
      </w:r>
      <w:r>
        <w:t xml:space="preserve">0.615 kg * 0.5 kgCO2e/kg = 0.3075 kgCO2e</w:t>
      </w:r>
    </w:p>
    <w:p>
      <w:pPr>
        <w:numPr>
          <w:ilvl w:val="1"/>
          <w:numId w:val="1017"/>
        </w:numPr>
        <w:pStyle w:val="Compact"/>
      </w:pPr>
      <w:r>
        <w:rPr>
          <w:bCs/>
          <w:b/>
        </w:rPr>
        <w:t xml:space="preserve">Credits from Recycling:</w:t>
      </w:r>
      <w:r>
        <w:t xml:space="preserve"> </w:t>
      </w:r>
      <w:r>
        <w:t xml:space="preserve">1.435 kg * -1.0 kgCO2e/kg = -1.435 kgCO2e (representing avoided virgin material production)</w:t>
      </w:r>
    </w:p>
    <w:p>
      <w:pPr>
        <w:numPr>
          <w:ilvl w:val="1"/>
          <w:numId w:val="1017"/>
        </w:numPr>
        <w:pStyle w:val="Compact"/>
      </w:pPr>
      <w:r>
        <w:rPr>
          <w:bCs/>
          <w:b/>
        </w:rPr>
        <w:t xml:space="preserve">Total End-of-Life Emissions:</w:t>
      </w:r>
      <w:r>
        <w:t xml:space="preserve"> </w:t>
      </w:r>
      <w:r>
        <w:t xml:space="preserve">0.3075 kgCO2e + (-1.435 kgCO2e) = -1.1275 kgCO2e</w:t>
      </w:r>
    </w:p>
    <w:p>
      <w:pPr>
        <w:numPr>
          <w:ilvl w:val="0"/>
          <w:numId w:val="1000"/>
        </w:numPr>
      </w:pPr>
      <w:r>
        <w:rPr>
          <w:iCs/>
          <w:i/>
        </w:rPr>
        <w:t xml:space="preserve">Circular/Take-back Programs (enjqjxpong):</w:t>
      </w:r>
      <w:r>
        <w:t xml:space="preserve"> </w:t>
      </w:r>
      <w:r>
        <w:t xml:space="preserve">The presence of circular/take-back programs significantly enhances the potential for higher recyclability and recovery rates, contributing positively to reducing end-of-life impacts and fostering a circular economy.</w:t>
      </w:r>
    </w:p>
    <w:p>
      <w:pPr>
        <w:pStyle w:val="FirstParagraph"/>
      </w:pPr>
      <w:r>
        <w:rPr>
          <w:bCs/>
          <w:b/>
        </w:rPr>
        <w:t xml:space="preserve">Total Downstream Scope 3 Emissions:</w:t>
      </w:r>
      <w:r>
        <w:t xml:space="preserve"> </w:t>
      </w:r>
      <w:r>
        <w:t xml:space="preserve">0.5043 kgCO2e (Downstream Transport) + 12.50 kgCO2e (Use Phase) - 1.1275 kgCO2e (EoL) = 11.8768 kgCO2e</w:t>
      </w:r>
    </w:p>
    <w:bookmarkEnd w:id="36"/>
    <w:bookmarkEnd w:id="37"/>
    <w:bookmarkStart w:id="38" w:name="summary-of-pcf-by-ghg-protocol-scope"/>
    <w:p>
      <w:pPr>
        <w:pStyle w:val="Heading3"/>
      </w:pPr>
      <w:r>
        <w:t xml:space="preserve">5.4. Summary of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 per 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24.82</w:t>
            </w:r>
          </w:p>
        </w:tc>
        <w:tc>
          <w:tcPr/>
          <w:p>
            <w:pPr>
              <w:pStyle w:val="Compact"/>
              <w:jc w:val="left"/>
            </w:pPr>
            <w:r>
              <w:t xml:space="preserve">50.62%</w:t>
            </w:r>
          </w:p>
        </w:tc>
      </w:tr>
      <w:tr>
        <w:tc>
          <w:tcPr/>
          <w:p>
            <w:pPr>
              <w:pStyle w:val="Compact"/>
              <w:jc w:val="left"/>
            </w:pPr>
            <w:r>
              <w:t xml:space="preserve">Scope 3 (Upstream - Materials &amp; Transport)</w:t>
            </w:r>
          </w:p>
        </w:tc>
        <w:tc>
          <w:tcPr/>
          <w:p>
            <w:pPr>
              <w:pStyle w:val="Compact"/>
              <w:jc w:val="left"/>
            </w:pPr>
            <w:r>
              <w:t xml:space="preserve">11.92</w:t>
            </w:r>
          </w:p>
        </w:tc>
        <w:tc>
          <w:tcPr/>
          <w:p>
            <w:pPr>
              <w:pStyle w:val="Compact"/>
              <w:jc w:val="left"/>
            </w:pPr>
            <w:r>
              <w:t xml:space="preserve">24.31%</w:t>
            </w:r>
          </w:p>
        </w:tc>
      </w:tr>
      <w:tr>
        <w:tc>
          <w:tcPr/>
          <w:p>
            <w:pPr>
              <w:pStyle w:val="Compact"/>
              <w:jc w:val="left"/>
            </w:pPr>
            <w:r>
              <w:t xml:space="preserve">Scope 3 (Downstream - Transport, Use, EoL)</w:t>
            </w:r>
          </w:p>
        </w:tc>
        <w:tc>
          <w:tcPr/>
          <w:p>
            <w:pPr>
              <w:pStyle w:val="Compact"/>
              <w:jc w:val="left"/>
            </w:pPr>
            <w:r>
              <w:t xml:space="preserve">11.88</w:t>
            </w:r>
          </w:p>
        </w:tc>
        <w:tc>
          <w:tcPr/>
          <w:p>
            <w:pPr>
              <w:pStyle w:val="Compact"/>
              <w:jc w:val="left"/>
            </w:pPr>
            <w:r>
              <w:t xml:space="preserve">24.23%</w:t>
            </w:r>
          </w:p>
        </w:tc>
      </w:tr>
      <w:tr>
        <w:tc>
          <w:tcPr/>
          <w:p>
            <w:pPr>
              <w:pStyle w:val="Compact"/>
              <w:jc w:val="left"/>
            </w:pPr>
            <w:r>
              <w:t xml:space="preserve">Total Product Carbon Footprint</w:t>
            </w:r>
          </w:p>
        </w:tc>
        <w:tc>
          <w:tcPr/>
          <w:p>
            <w:pPr>
              <w:pStyle w:val="Compact"/>
              <w:jc w:val="left"/>
            </w:pPr>
            <w:r>
              <w:t xml:space="preserve">48.62</w:t>
            </w:r>
          </w:p>
        </w:tc>
        <w:tc>
          <w:tcPr/>
          <w:p>
            <w:pPr>
              <w:pStyle w:val="Compact"/>
              <w:jc w:val="left"/>
            </w:pPr>
            <w:r>
              <w:t xml:space="preserve">100.00%</w:t>
            </w:r>
          </w:p>
        </w:tc>
      </w:tr>
    </w:tbl>
    <w:bookmarkEnd w:id="38"/>
    <w:bookmarkStart w:id="39" w:name="land-sector-and-removals-lsr-update"/>
    <w:p>
      <w:pPr>
        <w:pStyle w:val="Heading3"/>
      </w:pPr>
      <w:r>
        <w:t xml:space="preserve">5.5. 2026 Land Sector and Removals (LSR) Update</w:t>
      </w:r>
    </w:p>
    <w:p>
      <w:pPr>
        <w:pStyle w:val="FirstParagraph"/>
      </w:pPr>
      <w:r>
        <w:t xml:space="preserve">The GHG Protocol\'s Land Sector and Removals (LSR) Standard, released in January 2026 and effective January 1, 2027, provides crucial guidance for entities with significant land sector activities and those reporting CO2 removals. While this PCF for \'xjzlemshrx\' does not directly involve land-intensive activities or explicit carbon removals within its defined system boundary, it\'s vital to acknowledge that any raw materials sourced from agricultural or forestry sectors would fall under the purview of this standard in a complete cradle-to-grave analysis. Future iterations of this PCF, particularly if expanding to cover a more extensive supply chain or incorporating bio-based materials, would meticulously apply the LSR Standard\'s accounting requirements for land use, land-use change, and carbon removals to ensure comprehensive and compliant reporting.</w:t>
      </w:r>
    </w:p>
    <w:bookmarkEnd w:id="39"/>
    <w:bookmarkStart w:id="40" w:name="scope-3-compliance"/>
    <w:p>
      <w:pPr>
        <w:pStyle w:val="Heading3"/>
      </w:pPr>
      <w:r>
        <w:t xml:space="preserve">5.6. Scope 3 Compliance</w:t>
      </w:r>
    </w:p>
    <w:p>
      <w:pPr>
        <w:pStyle w:val="FirstParagraph"/>
      </w:pPr>
      <w:r>
        <w:t xml:space="preserve">The GHG Protocol\'s 2026 requirements emphasize at least 95% coverage for Scope 3 emissions reporting. In this analysis, efforts have been made to include all major upstream and downstream categories relevant to \'xjzlemshrx\', including purchased materials, transportation (inbound and outbound), the use phase, and end-of-life treatment. Based on the detailed BOM and lifecycle mapping, the reported Scope 3 emissions are considered comprehensive for the defined system boundary and are aimed at meeting the 95% coverage target. Continuous data improvement and engagement with suppliers are recommended to enhance the accuracy and completeness of Scope 3 data over time.</w:t>
      </w:r>
    </w:p>
    <w:p>
      <w:r>
        <w:pict>
          <v:rect style="width:0;height:1.5pt" o:hralign="center" o:hrstd="t" o:hr="t"/>
        </w:pict>
      </w:r>
    </w:p>
    <w:bookmarkEnd w:id="40"/>
    <w:bookmarkEnd w:id="41"/>
    <w:bookmarkStart w:id="44" w:name="review-report-step-5"/>
    <w:p>
      <w:pPr>
        <w:pStyle w:val="Heading2"/>
      </w:pPr>
      <w:r>
        <w:t xml:space="preserve">6. Review &amp; Report (Step 5)</w:t>
      </w:r>
    </w:p>
    <w:bookmarkStart w:id="42" w:name="emission-hotspots"/>
    <w:p>
      <w:pPr>
        <w:pStyle w:val="Heading3"/>
      </w:pPr>
      <w:r>
        <w:t xml:space="preserve">6.1. Emission Hotspots</w:t>
      </w:r>
    </w:p>
    <w:p>
      <w:pPr>
        <w:pStyle w:val="FirstParagraph"/>
      </w:pPr>
      <w:r>
        <w:t xml:space="preserve">The analysis identifies the following key emission hotspots for \'xjzlemshrx\':</w:t>
      </w:r>
    </w:p>
    <w:p>
      <w:pPr>
        <w:numPr>
          <w:ilvl w:val="0"/>
          <w:numId w:val="1018"/>
        </w:numPr>
        <w:pStyle w:val="Compact"/>
      </w:pPr>
      <w:r>
        <w:rPr>
          <w:bCs/>
          <w:b/>
        </w:rPr>
        <w:t xml:space="preserve">Purchased Electricity (Scope 2):</w:t>
      </w:r>
      <w:r>
        <w:t xml:space="preserve"> </w:t>
      </w:r>
      <w:r>
        <w:t xml:space="preserve">Manufacturing energy consumption, primarily in China, contributes significantly (50.62%) to the total PCF due to the grid\'s carbon intensity.</w:t>
      </w:r>
    </w:p>
    <w:p>
      <w:pPr>
        <w:numPr>
          <w:ilvl w:val="0"/>
          <w:numId w:val="1018"/>
        </w:numPr>
        <w:pStyle w:val="Compact"/>
      </w:pPr>
      <w:r>
        <w:rPr>
          <w:bCs/>
          <w:b/>
        </w:rPr>
        <w:t xml:space="preserve">Materials (Upstream Scope 3):</w:t>
      </w:r>
      <w:r>
        <w:t xml:space="preserve"> </w:t>
      </w:r>
      <w:r>
        <w:t xml:space="preserve">The production of raw materials, especially aluminum and electronic components, accounts for a substantial portion (23.67%) of the footprint, highlighting the importance of sustainable sourcing.</w:t>
      </w:r>
    </w:p>
    <w:p>
      <w:pPr>
        <w:numPr>
          <w:ilvl w:val="0"/>
          <w:numId w:val="1018"/>
        </w:numPr>
        <w:pStyle w:val="Compact"/>
      </w:pPr>
      <w:r>
        <w:rPr>
          <w:bCs/>
          <w:b/>
        </w:rPr>
        <w:t xml:space="preserve">Use Phase (Downstream Scope 3):</w:t>
      </w:r>
      <w:r>
        <w:t xml:space="preserve"> </w:t>
      </w:r>
      <w:r>
        <w:t xml:space="preserve">Energy consumption during the product\'s lifespan contributes a notable 25.71%, indicating opportunities for energy-efficient design.</w:t>
      </w:r>
    </w:p>
    <w:bookmarkEnd w:id="42"/>
    <w:bookmarkStart w:id="43" w:name="reliability-and-recommendations"/>
    <w:p>
      <w:pPr>
        <w:pStyle w:val="Heading3"/>
      </w:pPr>
      <w:r>
        <w:t xml:space="preserve">6.2. Reliability and Recommendations</w:t>
      </w:r>
    </w:p>
    <w:p>
      <w:pPr>
        <w:pStyle w:val="FirstParagraph"/>
      </w:pPr>
      <w:r>
        <w:t xml:space="preserve">The reliability of this report is dependent on the accuracy of the provided primary data and the representativeness of the applied secondary emission factors. While industry-standard factors have been used, further improvements can be achieved through:</w:t>
      </w:r>
    </w:p>
    <w:p>
      <w:pPr>
        <w:numPr>
          <w:ilvl w:val="0"/>
          <w:numId w:val="1019"/>
        </w:numPr>
        <w:pStyle w:val="Compact"/>
      </w:pPr>
      <w:r>
        <w:rPr>
          <w:bCs/>
          <w:b/>
        </w:rPr>
        <w:t xml:space="preserve">Primary Data Collection:</w:t>
      </w:r>
      <w:r>
        <w:t xml:space="preserve"> </w:t>
      </w:r>
      <w:r>
        <w:t xml:space="preserve">Engaging directly with material suppliers and transport providers to obtain specific emission factors.</w:t>
      </w:r>
    </w:p>
    <w:p>
      <w:pPr>
        <w:numPr>
          <w:ilvl w:val="0"/>
          <w:numId w:val="1019"/>
        </w:numPr>
        <w:pStyle w:val="Compact"/>
      </w:pPr>
      <w:r>
        <w:rPr>
          <w:bCs/>
          <w:b/>
        </w:rPr>
        <w:t xml:space="preserve">Energy Efficiency:</w:t>
      </w:r>
      <w:r>
        <w:t xml:space="preserve"> </w:t>
      </w:r>
      <w:r>
        <w:t xml:space="preserve">Investigating opportunities to further increase renewable energy usage at manufacturing sites and improve product energy efficiency during the use phase.</w:t>
      </w:r>
    </w:p>
    <w:p>
      <w:pPr>
        <w:numPr>
          <w:ilvl w:val="0"/>
          <w:numId w:val="1019"/>
        </w:numPr>
        <w:pStyle w:val="Compact"/>
      </w:pPr>
      <w:r>
        <w:rPr>
          <w:bCs/>
          <w:b/>
        </w:rPr>
        <w:t xml:space="preserve">Circular Economy Integration:</w:t>
      </w:r>
      <w:r>
        <w:t xml:space="preserve"> </w:t>
      </w:r>
      <w:r>
        <w:t xml:space="preserve">Expanding circular/take-back programs to maximize recycling and material recovery, potentially exploring innovative design for disassembly.</w:t>
      </w:r>
    </w:p>
    <w:p>
      <w:pPr>
        <w:numPr>
          <w:ilvl w:val="0"/>
          <w:numId w:val="1019"/>
        </w:numPr>
        <w:pStyle w:val="Compact"/>
      </w:pPr>
      <w:r>
        <w:rPr>
          <w:bCs/>
          <w:b/>
        </w:rPr>
        <w:t xml:space="preserve">LSR Standard Implementation:</w:t>
      </w:r>
      <w:r>
        <w:t xml:space="preserve"> </w:t>
      </w:r>
      <w:r>
        <w:t xml:space="preserve">For future assessments, particularly with bio-based components or land-intensive processes, fully integrating the GHG Protocol LSR Standard for land-use and removal accounting.</w:t>
      </w:r>
    </w:p>
    <w:p>
      <w:r>
        <w:pict>
          <v:rect style="width:0;height:1.5pt" o:hralign="center" o:hrstd="t" o:hr="t"/>
        </w:pict>
      </w:r>
    </w:p>
    <w:bookmarkEnd w:id="43"/>
    <w:bookmarkEnd w:id="44"/>
    <w:bookmarkStart w:id="45" w:name="conclusion"/>
    <w:p>
      <w:pPr>
        <w:pStyle w:val="Heading2"/>
      </w:pPr>
      <w:r>
        <w:t xml:space="preserve">7. Conclusion</w:t>
      </w:r>
    </w:p>
    <w:p>
      <w:pPr>
        <w:pStyle w:val="FirstParagraph"/>
      </w:pPr>
      <w:r>
        <w:t xml:space="preserve">This high-detail Product Carbon Footprint analysis for \'xjzlemshrx\' provides \'gdfinxsmlo\' with a clear understanding of its environmental impact across the lifecycle. The total carbon footprint per unit is calculated at</w:t>
      </w:r>
      <w:r>
        <w:t xml:space="preserve"> </w:t>
      </w:r>
      <w:r>
        <w:rPr>
          <w:bCs/>
          <w:b/>
        </w:rPr>
        <w:t xml:space="preserve">48.62 kgCO2e</w:t>
      </w:r>
      <w:r>
        <w:t xml:space="preserve">. The findings highlight significant opportunities for emission reduction, particularly in optimizing manufacturing energy sources and improving material sourcing and product energy efficiency during use. By focusing on these hotspots and continuing to adhere to evolving standards like the GHG Protocol and its LSR update, \'gdfinxlo\' can strengthen its commitment to sustainability and drive impactful environmental performance improvements.</w:t>
      </w:r>
    </w:p>
    <w:bookmarkEnd w:id="45"/>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xjzlemshrx</dc:title>
  <dc:creator/>
  <dc:description>High-detail Product Carbon Footprint (PCF) analysis report for xjzlemshrx, performed by Senior Sustainability Consultant zpeiijmtgw for gdfinxsmlo, adhering to GHG Protocol and 2026 LSR updates.</dc:description>
  <dc:language>en</dc:language>
  <cp:keywords/>
  <dcterms:created xsi:type="dcterms:W3CDTF">2026-05-30T17:40:42Z</dcterms:created>
  <dcterms:modified xsi:type="dcterms:W3CDTF">2026-05-30T17:40:42Z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