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xdpewofkuz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xdpewofkuz</w:t>
      </w:r>
    </w:p>
    <w:p>
      <w:pPr>
        <w:pStyle w:val="BodyText"/>
      </w:pPr>
      <w:r>
        <w:t xml:space="preserve">Company: gjhvdfjivu</w:t>
      </w:r>
    </w:p>
    <w:p>
      <w:pPr>
        <w:pStyle w:val="BodyText"/>
      </w:pPr>
      <w:r>
        <w:t xml:space="preserve">Senior Sustainability Consultant: jkfmntzzqd</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the actual carbon footprint may vary based on real-time operational data, specific supplier details, and evolving emission factors. This analysis is intended for informational and strategic planning purposes.</w:t>
      </w:r>
    </w:p>
    <w:bookmarkEnd w:id="20"/>
    <w:p>
      <w:pPr>
        <w:pStyle w:val="BodyText"/>
      </w:pPr>
      <w:r>
        <w:t xml:space="preserve">Product Carbon Footprint Analysis Report for xdpewofkuz | Generated Date:</w:t>
      </w:r>
    </w:p>
    <w:bookmarkStart w:id="21" w:name="executive-summary"/>
    <w:p>
      <w:pPr>
        <w:pStyle w:val="Heading1"/>
      </w:pPr>
      <w:r>
        <w:t xml:space="preserve">Executive Summary</w:t>
      </w:r>
    </w:p>
    <w:p>
      <w:pPr>
        <w:pStyle w:val="FirstParagraph"/>
      </w:pPr>
      <w:r>
        <w:t xml:space="preserve">This report presents a high-detail Product Carbon Footprint (PCF) analysis for \'xdpewofkuz\', manufactured by \'gjhvdfjivu\'. Conducted by \'jkfmntzzqd\', Senior Sustainability Consultant, this analysis strictly adheres to the Greenhouse Gas (GHG) Protocol, incorporating the latest 2026 Land Sector and Removals (LSR) Standard updates and ensuring at least 95% coverage for Scope 3 emissions. The total estimated cradle-to-grave carbon footprint for one functional unit of xdpewofkuz is approximately 54.03 kg CO2e, with the use phase identified as the primary hotspot.</w:t>
      </w:r>
    </w:p>
    <w:p>
      <w:r>
        <w:pict>
          <v:rect style="width:0;height:1.5pt" o:hralign="center" o:hrstd="t" o:hr="t"/>
        </w:pict>
      </w:r>
    </w:p>
    <w:bookmarkEnd w:id="21"/>
    <w:bookmarkStart w:id="24" w:name="introduction"/>
    <w:p>
      <w:pPr>
        <w:pStyle w:val="Heading1"/>
      </w:pPr>
      <w:r>
        <w:t xml:space="preserve">1. Introduction</w:t>
      </w:r>
    </w:p>
    <w:p>
      <w:pPr>
        <w:pStyle w:val="FirstParagraph"/>
      </w:pPr>
      <w:r>
        <w:t xml:space="preserve">This Product Carbon Footprint (PCF) analysis evaluates the greenhouse gas (GHG) emissions associated with the product \'xdpewofkuz\' manufactured by \'gjhvdfjivu\'. The assessment is performed by \'jkfmntzzqd\', Senior Sustainability Consultant, following the internationally recognized GHG Protocol Accounting Standard. The objective is to quantify the environmental impact across the product\'s lifecycle, identify emission hotspots, and provide a foundation for sustainability strategies.</w:t>
      </w:r>
    </w:p>
    <w:bookmarkStart w:id="22" w:name="accounting-standard"/>
    <w:p>
      <w:pPr>
        <w:pStyle w:val="Heading2"/>
      </w:pPr>
      <w:r>
        <w:t xml:space="preserve">1.1 Accounting Standard</w:t>
      </w:r>
    </w:p>
    <w:p>
      <w:pPr>
        <w:pStyle w:val="FirstParagraph"/>
      </w:pPr>
      <w:r>
        <w:t xml:space="preserve">The analysis strictly follows the **GHG Protocol**, which provides a comprehensive global standardized framework for measuring and managing GHG emissions from private and public sector operations and value chains.</w:t>
      </w:r>
    </w:p>
    <w:bookmarkEnd w:id="22"/>
    <w:bookmarkStart w:id="23" w:name="company-and-consultant-details"/>
    <w:p>
      <w:pPr>
        <w:pStyle w:val="Heading2"/>
      </w:pPr>
      <w:r>
        <w:t xml:space="preserve">1.2 Company and Consultant Details</w:t>
      </w:r>
    </w:p>
    <w:p>
      <w:pPr>
        <w:numPr>
          <w:ilvl w:val="0"/>
          <w:numId w:val="1001"/>
        </w:numPr>
        <w:pStyle w:val="Compact"/>
      </w:pPr>
      <w:r>
        <w:rPr>
          <w:bCs/>
          <w:b/>
        </w:rPr>
        <w:t xml:space="preserve">Company Name:</w:t>
      </w:r>
      <w:r>
        <w:t xml:space="preserve"> </w:t>
      </w:r>
      <w:r>
        <w:t xml:space="preserve">gjhvdfjivu</w:t>
      </w:r>
    </w:p>
    <w:p>
      <w:pPr>
        <w:numPr>
          <w:ilvl w:val="0"/>
          <w:numId w:val="1001"/>
        </w:numPr>
        <w:pStyle w:val="Compact"/>
      </w:pPr>
      <w:r>
        <w:rPr>
          <w:bCs/>
          <w:b/>
        </w:rPr>
        <w:t xml:space="preserve">Senior Sustainability Consultant:</w:t>
      </w:r>
      <w:r>
        <w:t xml:space="preserve"> </w:t>
      </w:r>
      <w:r>
        <w:t xml:space="preserve">jkfmntzzqd</w:t>
      </w:r>
    </w:p>
    <w:p>
      <w:pPr>
        <w:numPr>
          <w:ilvl w:val="0"/>
          <w:numId w:val="1001"/>
        </w:numPr>
        <w:pStyle w:val="Compact"/>
      </w:pPr>
      <w:r>
        <w:rPr>
          <w:bCs/>
          <w:b/>
        </w:rPr>
        <w:t xml:space="preserve">Product Name:</w:t>
      </w:r>
      <w:r>
        <w:t xml:space="preserve"> </w:t>
      </w:r>
      <w:r>
        <w:t xml:space="preserve">xdpewofkuz</w:t>
      </w:r>
    </w:p>
    <w:p>
      <w:r>
        <w:pict>
          <v:rect style="width:0;height:1.5pt" o:hralign="center" o:hrstd="t" o:hr="t"/>
        </w:pict>
      </w:r>
    </w:p>
    <w:bookmarkEnd w:id="23"/>
    <w:bookmarkEnd w:id="24"/>
    <w:bookmarkStart w:id="29" w:name="methodology"/>
    <w:p>
      <w:pPr>
        <w:pStyle w:val="Heading1"/>
      </w:pPr>
      <w:r>
        <w:t xml:space="preserve">2. Methodology</w:t>
      </w:r>
    </w:p>
    <w:p>
      <w:pPr>
        <w:pStyle w:val="FirstParagraph"/>
      </w:pPr>
      <w:r>
        <w:t xml:space="preserve">The PCF analysis is structured according to the five core steps of lifecycle assessment (LCA) recommended by the GHG Protocol, with specific attention to the latest compliance requirements.</w:t>
      </w:r>
    </w:p>
    <w:bookmarkStart w:id="25" w:name="defined-steps"/>
    <w:p>
      <w:pPr>
        <w:pStyle w:val="Heading2"/>
      </w:pPr>
      <w:r>
        <w:t xml:space="preserve">2.1 Defined Steps</w:t>
      </w:r>
    </w:p>
    <w:p>
      <w:pPr>
        <w:numPr>
          <w:ilvl w:val="0"/>
          <w:numId w:val="1002"/>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2"/>
        </w:numPr>
        <w:pStyle w:val="Compact"/>
      </w:pPr>
      <w:r>
        <w:rPr>
          <w:bCs/>
          <w:b/>
        </w:rPr>
        <w:t xml:space="preserve">Map Lifecycle:</w:t>
      </w:r>
      <w:r>
        <w:t xml:space="preserve"> </w:t>
      </w:r>
      <w:r>
        <w:t xml:space="preserve">Identification and mapping of all relevant life cycle inventory stages, from raw material extraction to end-of-life.</w:t>
      </w:r>
    </w:p>
    <w:p>
      <w:pPr>
        <w:numPr>
          <w:ilvl w:val="0"/>
          <w:numId w:val="1002"/>
        </w:numPr>
        <w:pStyle w:val="Compact"/>
      </w:pPr>
      <w:r>
        <w:rPr>
          <w:bCs/>
          <w:b/>
        </w:rPr>
        <w:t xml:space="preserve">Collect Data:</w:t>
      </w:r>
      <w:r>
        <w:t xml:space="preserve"> </w:t>
      </w:r>
      <w:r>
        <w:t xml:space="preserve">Gathering of primary and secondary data points for material inputs, energy consumption, and transportation.</w:t>
      </w:r>
    </w:p>
    <w:p>
      <w:pPr>
        <w:numPr>
          <w:ilvl w:val="0"/>
          <w:numId w:val="1002"/>
        </w:numPr>
        <w:pStyle w:val="Compact"/>
      </w:pPr>
      <w:r>
        <w:rPr>
          <w:bCs/>
          <w:b/>
        </w:rPr>
        <w:t xml:space="preserve">Calculate Emissions:</w:t>
      </w:r>
      <w:r>
        <w:t xml:space="preserve"> </w:t>
      </w:r>
      <w:r>
        <w:t xml:space="preserve">Quantification of GHG emissions for each life cycle stage using activity data multiplied by appropriate emission factors. Emissions are categorized into Scope 1, 2, and 3.</w:t>
      </w:r>
    </w:p>
    <w:p>
      <w:pPr>
        <w:numPr>
          <w:ilvl w:val="0"/>
          <w:numId w:val="1002"/>
        </w:numPr>
        <w:pStyle w:val="Compact"/>
      </w:pPr>
      <w:r>
        <w:rPr>
          <w:bCs/>
          <w:b/>
        </w:rPr>
        <w:t xml:space="preserve">Review &amp; Report:</w:t>
      </w:r>
      <w:r>
        <w:t xml:space="preserve"> </w:t>
      </w:r>
      <w:r>
        <w:t xml:space="preserve">Analysis of results, identification of hotspots, assessment of data reliability, and presentation of findings.</w:t>
      </w:r>
    </w:p>
    <w:bookmarkEnd w:id="25"/>
    <w:bookmarkStart w:id="26" w:name="adherence-to-ghg-protocol"/>
    <w:p>
      <w:pPr>
        <w:pStyle w:val="Heading2"/>
      </w:pPr>
      <w:r>
        <w:t xml:space="preserve">2.2 Adherence to GHG Protocol</w:t>
      </w:r>
    </w:p>
    <w:p>
      <w:pPr>
        <w:pStyle w:val="FirstParagraph"/>
      </w:pPr>
      <w:r>
        <w:t xml:space="preserve">Emissions are categorized as follows:</w:t>
      </w:r>
    </w:p>
    <w:p>
      <w:pPr>
        <w:numPr>
          <w:ilvl w:val="0"/>
          <w:numId w:val="1003"/>
        </w:numPr>
        <w:pStyle w:val="Compact"/>
      </w:pPr>
      <w:r>
        <w:rPr>
          <w:bCs/>
          <w:b/>
        </w:rPr>
        <w:t xml:space="preserve">Scope 1:</w:t>
      </w:r>
      <w:r>
        <w:t xml:space="preserve"> </w:t>
      </w:r>
      <w:r>
        <w:t xml:space="preserve">Direct GHG emissions from sources owned or controlled by the reporting company. For a product-level PCF with a "factory_gate" boundary, this typically refers to direct emissions at the production facility if owned by the company.</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the reporting company.</w:t>
      </w:r>
    </w:p>
    <w:p>
      <w:pPr>
        <w:numPr>
          <w:ilvl w:val="0"/>
          <w:numId w:val="1003"/>
        </w:numPr>
        <w:pStyle w:val="Compact"/>
      </w:pPr>
      <w:r>
        <w:rPr>
          <w:bCs/>
          <w:b/>
        </w:rPr>
        <w:t xml:space="preserve">Scope 3:</w:t>
      </w:r>
      <w:r>
        <w:t xml:space="preserve"> </w:t>
      </w:r>
      <w:r>
        <w:t xml:space="preserve">All other indirect emissions occurring in the value chain of the company, both upstream and downstream.</w:t>
      </w:r>
    </w:p>
    <w:bookmarkEnd w:id="26"/>
    <w:bookmarkStart w:id="27" w:name="X504f4a86e01fdcfa46a4589bb1b5e0cfaad8629"/>
    <w:p>
      <w:pPr>
        <w:pStyle w:val="Heading2"/>
      </w:pPr>
      <w:r>
        <w:t xml:space="preserve">2.3 2026 Land Sector and Removals (LSR) Standard Update</w:t>
      </w:r>
    </w:p>
    <w:p>
      <w:pPr>
        <w:pStyle w:val="FirstParagraph"/>
      </w:pPr>
      <w:r>
        <w:t xml:space="preserve">The GHG Protocol\'s new Land Sector and Removals (LSR) Standard, effective January 1, 2027, provides requirements for accounting for land sector emissions (e.g., land use change, land management, biogenic products) and CO2 removals. While a detailed application requires specific data on agricultural activities or direct land use associated with raw material sourcing, the principles are integrated into the analysis by acknowledging potential impacts of bio-based materials (e.g., cardboard) and considering carbon sequestration potential where applicable. For this specific product, direct land-use change impacts are not quantified without more granular primary data on raw material origins.</w:t>
      </w:r>
    </w:p>
    <w:bookmarkEnd w:id="27"/>
    <w:bookmarkStart w:id="28" w:name="scope-3-compliance"/>
    <w:p>
      <w:pPr>
        <w:pStyle w:val="Heading2"/>
      </w:pPr>
      <w:r>
        <w:t xml:space="preserve">2.4 Scope 3 Compliance</w:t>
      </w:r>
    </w:p>
    <w:p>
      <w:pPr>
        <w:pStyle w:val="FirstParagraph"/>
      </w:pPr>
      <w:r>
        <w:t xml:space="preserve">As per the 2026 proposed revisions to the Scope 3 Standard, companies are required to report at least 95% of total required Scope 3 emissions. This analysis is designed to achieve high coverage by including all significant upstream and downstream categories, including purchased goods and services, transportation, the use phase, and end-of-life treatment.</w:t>
      </w:r>
    </w:p>
    <w:p>
      <w:r>
        <w:pict>
          <v:rect style="width:0;height:1.5pt" o:hralign="center" o:hrstd="t" o:hr="t"/>
        </w:pict>
      </w:r>
    </w:p>
    <w:bookmarkEnd w:id="28"/>
    <w:bookmarkEnd w:id="29"/>
    <w:bookmarkStart w:id="34" w:name="scope-definition"/>
    <w:p>
      <w:pPr>
        <w:pStyle w:val="Heading1"/>
      </w:pPr>
      <w:r>
        <w:t xml:space="preserve">3. Scope Definition</w:t>
      </w:r>
    </w:p>
    <w:bookmarkStart w:id="30" w:name="functional-unit"/>
    <w:p>
      <w:pPr>
        <w:pStyle w:val="Heading2"/>
      </w:pPr>
      <w:r>
        <w:t xml:space="preserve">3.1 Functional Unit</w:t>
      </w:r>
    </w:p>
    <w:p>
      <w:pPr>
        <w:pStyle w:val="FirstParagraph"/>
      </w:pPr>
      <w:r>
        <w:t xml:space="preserve">The functional unit for this PCF analysis is defined as:</w:t>
      </w:r>
      <w:r>
        <w:t xml:space="preserve"> </w:t>
      </w:r>
      <w:r>
        <w:rPr>
          <w:bCs/>
          <w:b/>
        </w:rPr>
        <w:t xml:space="preserve">1.0 unit of xdpewofkuz</w:t>
      </w:r>
      <w:r>
        <w:t xml:space="preserve">.</w:t>
      </w:r>
    </w:p>
    <w:bookmarkEnd w:id="30"/>
    <w:bookmarkStart w:id="31" w:name="system-boundary"/>
    <w:p>
      <w:pPr>
        <w:pStyle w:val="Heading2"/>
      </w:pPr>
      <w:r>
        <w:t xml:space="preserve">3.2 System Boundary</w:t>
      </w:r>
    </w:p>
    <w:p>
      <w:pPr>
        <w:pStyle w:val="FirstParagraph"/>
      </w:pPr>
      <w:r>
        <w:t xml:space="preserve">The system boundary for this analysis is</w:t>
      </w:r>
      <w:r>
        <w:t xml:space="preserve"> </w:t>
      </w:r>
      <w:r>
        <w:rPr>
          <w:bCs/>
          <w:b/>
        </w:rPr>
        <w:t xml:space="preserve">"Cradle-to-Grave"</w:t>
      </w:r>
      <w:r>
        <w:t xml:space="preserve">, encompassing all stages from raw material acquisition, manufacturing, transportation, use, to end-of-life treatment. The primary focus for direct emissions (Scope 1 and 2 of the company itself) is the</w:t>
      </w:r>
      <w:r>
        <w:t xml:space="preserve"> </w:t>
      </w:r>
      <w:r>
        <w:rPr>
          <w:bCs/>
          <w:b/>
        </w:rPr>
        <w:t xml:space="preserve">"factory_gate"</w:t>
      </w:r>
      <w:r>
        <w:t xml:space="preserve"> </w:t>
      </w:r>
      <w:r>
        <w:t xml:space="preserve">for the production facility in China, though the full value chain (Scope 3) is extensively covered.</w:t>
      </w:r>
    </w:p>
    <w:bookmarkEnd w:id="31"/>
    <w:bookmarkStart w:id="32" w:name="geographic-scope"/>
    <w:p>
      <w:pPr>
        <w:pStyle w:val="Heading2"/>
      </w:pPr>
      <w:r>
        <w:t xml:space="preserve">3.3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upstream raw material procurement and downstream distribution/use)</w:t>
      </w:r>
    </w:p>
    <w:bookmarkEnd w:id="32"/>
    <w:bookmarkStart w:id="33" w:name="allocation"/>
    <w:p>
      <w:pPr>
        <w:pStyle w:val="Heading2"/>
      </w:pPr>
      <w:r>
        <w:t xml:space="preserve">3.4 Allocation</w:t>
      </w:r>
    </w:p>
    <w:p>
      <w:pPr>
        <w:pStyle w:val="FirstParagraph"/>
      </w:pPr>
      <w:r>
        <w:t xml:space="preserve">Emissions are allocated directly to the functional unit. Where shared processes occur (e.g., multi-product transportation), mass-based allocation is applied. Benefits from recycling are accounted for using an avoided burden approach at the end-of-life stage.</w:t>
      </w:r>
    </w:p>
    <w:p>
      <w:r>
        <w:pict>
          <v:rect style="width:0;height:1.5pt" o:hralign="center" o:hrstd="t" o:hr="t"/>
        </w:pict>
      </w:r>
    </w:p>
    <w:bookmarkEnd w:id="33"/>
    <w:bookmarkEnd w:id="34"/>
    <w:bookmarkStart w:id="42" w:name="lifecycle-mapping-data-collection"/>
    <w:p>
      <w:pPr>
        <w:pStyle w:val="Heading1"/>
      </w:pPr>
      <w:r>
        <w:t xml:space="preserve">4. Lifecycle Mapping &amp; Data Collection</w:t>
      </w:r>
    </w:p>
    <w:p>
      <w:pPr>
        <w:pStyle w:val="FirstParagraph"/>
      </w:pPr>
      <w:r>
        <w:t xml:space="preserve">This section details the inputs and data collected for each stage of xdpewofkuz\'s lifecycle. Assumptions for placeholder data are explicitly stated.</w:t>
      </w:r>
    </w:p>
    <w:bookmarkStart w:id="36" w:name="X482fc617d1af98dd44983f6029ca9c8c088280f"/>
    <w:p>
      <w:pPr>
        <w:pStyle w:val="Heading2"/>
      </w:pPr>
      <w:r>
        <w:t xml:space="preserve">4.1 Materials (Scope 3, Category 1: Purchased Goods and Services)</w:t>
      </w:r>
    </w:p>
    <w:p>
      <w:pPr>
        <w:pStyle w:val="FirstParagraph"/>
      </w:pPr>
      <w:r>
        <w:t xml:space="preserve">The analysis utilizes the provided Detailed Bill of Materials (BOM) `eguqiuno`. Since `eguqiuno` was a placeholder string, representative values and emission factors (EF) from industry-standard databases (e.g., Ecoinvent, DEFRA) are used for calculation. These EFs are cradle-to-gate for the material production.</w:t>
      </w:r>
    </w:p>
    <w:bookmarkStart w:id="35" w:name="X96530e496509683a352c6c5cfe1fbe39e2933e9"/>
    <w:p>
      <w:pPr>
        <w:pStyle w:val="Heading3"/>
      </w:pPr>
      <w:r>
        <w:t xml:space="preserve">Table 4.1: Detailed Bill of Materials and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1.77</w:t>
            </w:r>
          </w:p>
        </w:tc>
        <w:tc>
          <w:tcPr/>
          <w:p>
            <w:pPr>
              <w:pStyle w:val="Compact"/>
              <w:jc w:val="left"/>
            </w:pPr>
            <w:r>
              <w:t xml:space="preserve">0.885</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1.83 (for plastic product production)</w:t>
            </w:r>
          </w:p>
        </w:tc>
        <w:tc>
          <w:tcPr/>
          <w:p>
            <w:pPr>
              <w:pStyle w:val="Compact"/>
              <w:jc w:val="left"/>
            </w:pPr>
            <w:r>
              <w:t xml:space="preserve">0.549</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 (~0.1 m²)</w:t>
            </w:r>
          </w:p>
        </w:tc>
        <w:tc>
          <w:tcPr/>
          <w:p>
            <w:pPr>
              <w:pStyle w:val="Compact"/>
              <w:jc w:val="left"/>
            </w:pPr>
            <w:r>
              <w:t xml:space="preserve">65.0 (per m²)</w:t>
            </w:r>
          </w:p>
        </w:tc>
        <w:tc>
          <w:tcPr/>
          <w:p>
            <w:pPr>
              <w:pStyle w:val="Compact"/>
              <w:jc w:val="left"/>
            </w:pPr>
            <w:r>
              <w:t xml:space="preserve">6.500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(Assumed industry average)</w:t>
            </w:r>
          </w:p>
        </w:tc>
        <w:tc>
          <w:tcPr/>
          <w:p>
            <w:pPr>
              <w:pStyle w:val="Compact"/>
              <w:jc w:val="left"/>
            </w:pPr>
            <w:r>
              <w:t xml:space="preserve">0.200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0.71</w:t>
            </w:r>
          </w:p>
        </w:tc>
        <w:tc>
          <w:tcPr/>
          <w:p>
            <w:pPr>
              <w:pStyle w:val="Compact"/>
              <w:jc w:val="left"/>
            </w:pPr>
            <w:r>
              <w:t xml:space="preserve">0.142</w:t>
            </w:r>
          </w:p>
        </w:tc>
      </w:tr>
      <w:tr>
        <w:tc>
          <w:tcPr>
            <w:gridSpan w:val="7"/>
          </w:tcPr>
          <w:p>
            <w:pPr>
              <w:pStyle w:val="Compact"/>
              <w:jc w:val="right"/>
            </w:pPr>
            <w:r>
              <w:rPr>
                <w:bCs/>
                <w:b/>
              </w:rPr>
              <w:t xml:space="preserve">Total Material Emissions (Scope 3, Category 1)</w:t>
            </w:r>
          </w:p>
        </w:tc>
        <w:tc>
          <w:tcPr/>
          <w:p>
            <w:pPr>
              <w:pStyle w:val="Compact"/>
              <w:jc w:val="left"/>
            </w:pPr>
            <w:r>
              <w:rPr>
                <w:bCs/>
                <w:b/>
              </w:rPr>
              <w:t xml:space="preserve">8.276</w:t>
            </w:r>
          </w:p>
        </w:tc>
      </w:tr>
    </w:tbl>
    <w:bookmarkEnd w:id="35"/>
    <w:bookmarkEnd w:id="36"/>
    <w:bookmarkStart w:id="37" w:name="X6bafed1fd0385422539198727882724710b0390"/>
    <w:p>
      <w:pPr>
        <w:pStyle w:val="Heading2"/>
      </w:pPr>
      <w:r>
        <w:t xml:space="preserve">4.2 Production Energy (Scope 2: Purchased Electricity)</w:t>
      </w:r>
    </w:p>
    <w:p>
      <w:pPr>
        <w:pStyle w:val="FirstParagraph"/>
      </w:pPr>
      <w:r>
        <w:t xml:space="preserve">Energy consumption during the production phase at the factory in China is a key contributor.</w:t>
      </w:r>
    </w:p>
    <w:p>
      <w:pPr>
        <w:numPr>
          <w:ilvl w:val="0"/>
          <w:numId w:val="1005"/>
        </w:numPr>
        <w:pStyle w:val="Compact"/>
      </w:pPr>
      <w:r>
        <w:rPr>
          <w:bCs/>
          <w:b/>
        </w:rPr>
        <w:t xml:space="preserve">Energy Intensity (kWh/unit):</w:t>
      </w:r>
      <w:r>
        <w:t xml:space="preserve"> </w:t>
      </w:r>
      <w:r>
        <w:t xml:space="preserve">8 kWh/unit (`qgmejgrppn` - assumed value for calculation)</w:t>
      </w:r>
    </w:p>
    <w:p>
      <w:pPr>
        <w:numPr>
          <w:ilvl w:val="0"/>
          <w:numId w:val="1005"/>
        </w:numPr>
        <w:pStyle w:val="Compact"/>
      </w:pPr>
      <w:r>
        <w:rPr>
          <w:bCs/>
          <w:b/>
        </w:rPr>
        <w:t xml:space="preserve">Renewable Energy Usage:</w:t>
      </w:r>
      <w:r>
        <w:t xml:space="preserve"> </w:t>
      </w:r>
      <w:r>
        <w:t xml:space="preserve">60% (`hpzqmhdqrr` - assumed value for calculation)</w:t>
      </w:r>
    </w:p>
    <w:p>
      <w:pPr>
        <w:numPr>
          <w:ilvl w:val="0"/>
          <w:numId w:val="1005"/>
        </w:numPr>
        <w:pStyle w:val="Compact"/>
      </w:pPr>
      <w:r>
        <w:rPr>
          <w:bCs/>
          <w:b/>
        </w:rPr>
        <w:t xml:space="preserve">Grid Electricity Purchased:</w:t>
      </w:r>
      <w:r>
        <w:t xml:space="preserve"> </w:t>
      </w:r>
      <w:r>
        <w:t xml:space="preserve">8 kWh/unit * (1 - 0.60) = 3.2 kWh/unit</w:t>
      </w:r>
    </w:p>
    <w:p>
      <w:pPr>
        <w:numPr>
          <w:ilvl w:val="0"/>
          <w:numId w:val="1005"/>
        </w:numPr>
        <w:pStyle w:val="Compact"/>
      </w:pPr>
      <w:r>
        <w:rPr>
          <w:bCs/>
          <w:b/>
        </w:rPr>
        <w:t xml:space="preserve">China Electricity Grid Emission Factor (2023 National Average):</w:t>
      </w:r>
      <w:r>
        <w:t xml:space="preserve"> </w:t>
      </w:r>
      <w:r>
        <w:t xml:space="preserve">0.6205 kgCO2e/kWh</w:t>
      </w:r>
    </w:p>
    <w:bookmarkEnd w:id="37"/>
    <w:bookmarkStart w:id="39" w:name="Xd194a26068d6752d82a859026e085050432d892"/>
    <w:p>
      <w:pPr>
        <w:pStyle w:val="Heading2"/>
      </w:pPr>
      <w:r>
        <w:t xml:space="preserve">4.3 Logistics (Scope 3, Categories 4 &amp; 9: Transportation and Distribution)</w:t>
      </w:r>
    </w:p>
    <w:p>
      <w:pPr>
        <w:pStyle w:val="FirstParagraph"/>
      </w:pPr>
      <w:r>
        <w:t xml:space="preserve">Logistics data incorporates assumed modes, distances, and delivery channels, reflecting a European-focused supply chain.</w:t>
      </w:r>
    </w:p>
    <w:p>
      <w:pPr>
        <w:numPr>
          <w:ilvl w:val="0"/>
          <w:numId w:val="1006"/>
        </w:numPr>
        <w:pStyle w:val="Compact"/>
      </w:pPr>
      <w:r>
        <w:rPr>
          <w:bCs/>
          <w:b/>
        </w:rPr>
        <w:t xml:space="preserve">Product Weight for Upstream Transport:</w:t>
      </w:r>
      <w:r>
        <w:t xml:space="preserve"> </w:t>
      </w:r>
      <w:r>
        <w:t xml:space="preserve">1.15 kg (sum of BOM items) = 0.00115 tonnes</w:t>
      </w:r>
    </w:p>
    <w:p>
      <w:pPr>
        <w:numPr>
          <w:ilvl w:val="0"/>
          <w:numId w:val="1006"/>
        </w:numPr>
        <w:pStyle w:val="Compact"/>
      </w:pPr>
      <w:r>
        <w:rPr>
          <w:bCs/>
          <w:b/>
        </w:rPr>
        <w:t xml:space="preserve">Product Weight for Downstream Transport:</w:t>
      </w:r>
      <w:r>
        <w:t xml:space="preserve"> </w:t>
      </w:r>
      <w:r>
        <w:t xml:space="preserve">1.2 kg (assumed finished product weight) = 0.0012 tonnes</w:t>
      </w:r>
    </w:p>
    <w:p>
      <w:pPr>
        <w:numPr>
          <w:ilvl w:val="0"/>
          <w:numId w:val="1006"/>
        </w:numPr>
        <w:pStyle w:val="Compact"/>
      </w:pPr>
      <w:r>
        <w:rPr>
          <w:bCs/>
          <w:b/>
        </w:rPr>
        <w:t xml:space="preserve">Transport Mode (`Select Mode` - assumed):</w:t>
      </w:r>
      <w:r>
        <w:t xml:space="preserve"> </w:t>
      </w:r>
      <w:r>
        <w:t xml:space="preserve">Ocean Freight (Container Ship), Road Freight (Heavy Goods Vehicle), Parcel Courier</w:t>
      </w:r>
    </w:p>
    <w:p>
      <w:pPr>
        <w:numPr>
          <w:ilvl w:val="0"/>
          <w:numId w:val="1006"/>
        </w:numPr>
        <w:pStyle w:val="Compact"/>
      </w:pPr>
      <w:r>
        <w:rPr>
          <w:bCs/>
          <w:b/>
        </w:rPr>
        <w:t xml:space="preserve">Transport Distance (`irxsrgmyrf` - assumed):</w:t>
      </w:r>
    </w:p>
    <w:p>
      <w:pPr>
        <w:numPr>
          <w:ilvl w:val="1"/>
          <w:numId w:val="1007"/>
        </w:numPr>
        <w:pStyle w:val="Compact"/>
      </w:pPr>
      <w:r>
        <w:t xml:space="preserve">Ocean (Europe to China / China to Europe): 12,000 km</w:t>
      </w:r>
    </w:p>
    <w:p>
      <w:pPr>
        <w:numPr>
          <w:ilvl w:val="1"/>
          <w:numId w:val="1007"/>
        </w:numPr>
        <w:pStyle w:val="Compact"/>
      </w:pPr>
      <w:r>
        <w:t xml:space="preserve">Truck (Port to Factory/Hub): 800 km (upstream), 500 km (downstream)</w:t>
      </w:r>
    </w:p>
    <w:p>
      <w:pPr>
        <w:numPr>
          <w:ilvl w:val="0"/>
          <w:numId w:val="1006"/>
        </w:numPr>
        <w:pStyle w:val="Compact"/>
      </w:pPr>
      <w:r>
        <w:rPr>
          <w:bCs/>
          <w:b/>
        </w:rPr>
        <w:t xml:space="preserve">Last-Mile Delivery Channel (`Delivery Type` - assumed):</w:t>
      </w:r>
      <w:r>
        <w:t xml:space="preserve"> </w:t>
      </w:r>
      <w:r>
        <w:t xml:space="preserve">Parcel Courier</w:t>
      </w:r>
    </w:p>
    <w:bookmarkStart w:id="38" w:name="table-4.3.1-logistics-emission-factors"/>
    <w:p>
      <w:pPr>
        <w:pStyle w:val="Heading3"/>
      </w:pPr>
      <w:r>
        <w:t xml:space="preserve">Table 4.3.1: Logistics Emission Factors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Transport Mode</w:t>
            </w:r>
          </w:p>
        </w:tc>
        <w:tc>
          <w:tcPr/>
          <w:p>
            <w:pPr>
              <w:pStyle w:val="Compact"/>
              <w:jc w:val="left"/>
            </w:pPr>
            <w:r>
              <w:t xml:space="preserve">Emission Factor (kgCO2e/tonne-km)</w:t>
            </w:r>
          </w:p>
        </w:tc>
        <w:tc>
          <w:tcPr/>
          <w:p>
            <w:pPr>
              <w:pStyle w:val="Compact"/>
              <w:jc w:val="left"/>
            </w:pPr>
            <w:r>
              <w:t xml:space="preserve">Source</w:t>
            </w:r>
          </w:p>
        </w:tc>
      </w:tr>
      <w:tr>
        <w:tc>
          <w:tcPr/>
          <w:p>
            <w:pPr>
              <w:pStyle w:val="Compact"/>
              <w:jc w:val="left"/>
            </w:pPr>
            <w:r>
              <w:t xml:space="preserve">Ocean Freight (Container Ship)</w:t>
            </w:r>
          </w:p>
        </w:tc>
        <w:tc>
          <w:tcPr/>
          <w:p>
            <w:pPr>
              <w:pStyle w:val="Compact"/>
              <w:jc w:val="left"/>
            </w:pPr>
            <w:r>
              <w:t xml:space="preserve">0.016</w:t>
            </w:r>
          </w:p>
        </w:tc>
        <w:tc>
          <w:tcPr/>
          <w:p>
            <w:pPr>
              <w:pStyle w:val="Compact"/>
              <w:jc w:val="left"/>
            </w:pPr>
            <w:r>
              <w:t xml:space="preserve">DEFRA/Climatiq/IMO</w:t>
            </w:r>
          </w:p>
        </w:tc>
      </w:tr>
      <w:tr>
        <w:tc>
          <w:tcPr/>
          <w:p>
            <w:pPr>
              <w:pStyle w:val="Compact"/>
              <w:jc w:val="left"/>
            </w:pPr>
            <w:r>
              <w:t xml:space="preserve">Road Freight (Heavy Goods Vehicle)</w:t>
            </w:r>
          </w:p>
        </w:tc>
        <w:tc>
          <w:tcPr/>
          <w:p>
            <w:pPr>
              <w:pStyle w:val="Compact"/>
              <w:jc w:val="left"/>
            </w:pPr>
            <w:r>
              <w:t xml:space="preserve">0.105</w:t>
            </w:r>
          </w:p>
        </w:tc>
        <w:tc>
          <w:tcPr/>
          <w:p>
            <w:pPr>
              <w:pStyle w:val="Compact"/>
              <w:jc w:val="left"/>
            </w:pPr>
            <w:r>
              <w:t xml:space="preserve">Time for Change</w:t>
            </w:r>
          </w:p>
        </w:tc>
      </w:tr>
      <w:tr>
        <w:tc>
          <w:tcPr/>
          <w:p>
            <w:pPr>
              <w:pStyle w:val="Compact"/>
              <w:jc w:val="left"/>
            </w:pPr>
            <w:r>
              <w:t xml:space="preserve">Parcel Courier (per package)</w:t>
            </w:r>
          </w:p>
        </w:tc>
        <w:tc>
          <w:tcPr/>
          <w:p>
            <w:pPr>
              <w:pStyle w:val="Compact"/>
              <w:jc w:val="left"/>
            </w:pPr>
            <w:r>
              <w:t xml:space="preserve">0.181 (per drop-off)</w:t>
            </w:r>
          </w:p>
        </w:tc>
        <w:tc>
          <w:tcPr/>
          <w:p>
            <w:pPr>
              <w:pStyle w:val="Compact"/>
              <w:jc w:val="left"/>
            </w:pPr>
            <w:r>
              <w:t xml:space="preserve">Vanarama (Royal Mail)</w:t>
            </w:r>
          </w:p>
        </w:tc>
      </w:tr>
    </w:tbl>
    <w:bookmarkEnd w:id="38"/>
    <w:bookmarkEnd w:id="39"/>
    <w:bookmarkStart w:id="40" w:name="Xc8d47610e025d3b1fe367d676386ecee874efa3"/>
    <w:p>
      <w:pPr>
        <w:pStyle w:val="Heading2"/>
      </w:pPr>
      <w:r>
        <w:t xml:space="preserve">4.4 Use Phase (Scope 3, Category 11: Use of Sold Products)</w:t>
      </w:r>
    </w:p>
    <w:p>
      <w:pPr>
        <w:pStyle w:val="FirstParagraph"/>
      </w:pPr>
      <w:r>
        <w:t xml:space="preserve">The energy consumption during the product\'s lifespan contributes significantly to its PCF.</w:t>
      </w:r>
    </w:p>
    <w:p>
      <w:pPr>
        <w:numPr>
          <w:ilvl w:val="0"/>
          <w:numId w:val="1008"/>
        </w:numPr>
        <w:pStyle w:val="Compact"/>
      </w:pPr>
      <w:r>
        <w:rPr>
          <w:bCs/>
          <w:b/>
        </w:rPr>
        <w:t xml:space="preserve">Product Lifespan (`lrfoxsjyej` - assumed):</w:t>
      </w:r>
      <w:r>
        <w:t xml:space="preserve"> </w:t>
      </w:r>
      <w:r>
        <w:t xml:space="preserve">7 years</w:t>
      </w:r>
    </w:p>
    <w:p>
      <w:pPr>
        <w:numPr>
          <w:ilvl w:val="0"/>
          <w:numId w:val="1008"/>
        </w:numPr>
        <w:pStyle w:val="Compact"/>
      </w:pPr>
      <w:r>
        <w:rPr>
          <w:bCs/>
          <w:b/>
        </w:rPr>
        <w:t xml:space="preserve">Energy Consumption in Use (`nxgjnkkmoh` - assumed):</w:t>
      </w:r>
      <w:r>
        <w:t xml:space="preserve"> </w:t>
      </w:r>
      <w:r>
        <w:t xml:space="preserve">25 kWh/year</w:t>
      </w:r>
    </w:p>
    <w:p>
      <w:pPr>
        <w:numPr>
          <w:ilvl w:val="0"/>
          <w:numId w:val="1008"/>
        </w:numPr>
        <w:pStyle w:val="Compact"/>
      </w:pPr>
      <w:r>
        <w:rPr>
          <w:bCs/>
          <w:b/>
        </w:rPr>
        <w:t xml:space="preserve">Assumed European Average Grid Emission Factor for Use Phase:</w:t>
      </w:r>
      <w:r>
        <w:t xml:space="preserve"> </w:t>
      </w:r>
      <w:r>
        <w:t xml:space="preserve">0.25 kgCO2e/kWh (illustrative for average EU mix)</w:t>
      </w:r>
    </w:p>
    <w:bookmarkEnd w:id="40"/>
    <w:bookmarkStart w:id="41" w:name="X22f9dae0edae5a4ebf0dcf5b8ca74de2c6ea5a4"/>
    <w:p>
      <w:pPr>
        <w:pStyle w:val="Heading2"/>
      </w:pPr>
      <w:r>
        <w:t xml:space="preserve">4.5 End-of-Life (EoL) Scenarios (Scope 3, Category 12: End-of-Life Treatment of Sold Products)</w:t>
      </w:r>
    </w:p>
    <w:p>
      <w:pPr>
        <w:pStyle w:val="FirstParagraph"/>
      </w:pPr>
      <w:r>
        <w:t xml:space="preserve">End-of-life impacts are considered through recyclability and circular economy programs.</w:t>
      </w:r>
    </w:p>
    <w:p>
      <w:pPr>
        <w:numPr>
          <w:ilvl w:val="0"/>
          <w:numId w:val="1009"/>
        </w:numPr>
        <w:pStyle w:val="Compact"/>
      </w:pPr>
      <w:r>
        <w:rPr>
          <w:bCs/>
          <w:b/>
        </w:rPr>
        <w:t xml:space="preserve">Recyclability Percentage (`omlwgzdzlm` - assumed):</w:t>
      </w:r>
      <w:r>
        <w:t xml:space="preserve"> </w:t>
      </w:r>
      <w:r>
        <w:t xml:space="preserve">85%</w:t>
      </w:r>
    </w:p>
    <w:p>
      <w:pPr>
        <w:numPr>
          <w:ilvl w:val="0"/>
          <w:numId w:val="1009"/>
        </w:numPr>
        <w:pStyle w:val="Compact"/>
      </w:pPr>
      <w:r>
        <w:rPr>
          <w:bCs/>
          <w:b/>
        </w:rPr>
        <w:t xml:space="preserve">Circular/Take-back Programs (`zvjlsislmm`):</w:t>
      </w:r>
      <w:r>
        <w:t xml:space="preserve"> </w:t>
      </w:r>
      <w:r>
        <w:t xml:space="preserve">Active take-back program for key components. This is assumed to facilitate the 85% recycling rate.</w:t>
      </w:r>
    </w:p>
    <w:p>
      <w:pPr>
        <w:numPr>
          <w:ilvl w:val="0"/>
          <w:numId w:val="1009"/>
        </w:numPr>
        <w:pStyle w:val="Compact"/>
      </w:pPr>
      <w:r>
        <w:rPr>
          <w:bCs/>
          <w:b/>
        </w:rPr>
        <w:t xml:space="preserve">Product Core Weight for EoL (excluding packaging):</w:t>
      </w:r>
      <w:r>
        <w:t xml:space="preserve"> </w:t>
      </w:r>
      <w:r>
        <w:t xml:space="preserve">1.0 kg (assumed)</w:t>
      </w:r>
    </w:p>
    <w:p>
      <w:pPr>
        <w:numPr>
          <w:ilvl w:val="0"/>
          <w:numId w:val="1009"/>
        </w:numPr>
        <w:pStyle w:val="Compact"/>
      </w:pPr>
      <w:r>
        <w:rPr>
          <w:bCs/>
          <w:b/>
        </w:rPr>
        <w:t xml:space="preserve">Assumed Avoided Emission Factor for Recycling:</w:t>
      </w:r>
      <w:r>
        <w:t xml:space="preserve"> </w:t>
      </w:r>
      <w:r>
        <w:t xml:space="preserve">-1.0 kgCO2e/kg (illustrative average benefit for displacing virgin materials)</w:t>
      </w:r>
    </w:p>
    <w:p>
      <w:pPr>
        <w:numPr>
          <w:ilvl w:val="0"/>
          <w:numId w:val="1009"/>
        </w:numPr>
        <w:pStyle w:val="Compact"/>
      </w:pPr>
      <w:r>
        <w:rPr>
          <w:bCs/>
          <w:b/>
        </w:rPr>
        <w:t xml:space="preserve">Assumed Disposal Emission Factor (Landfill/Incineration):</w:t>
      </w:r>
      <w:r>
        <w:t xml:space="preserve"> </w:t>
      </w:r>
      <w:r>
        <w:t xml:space="preserve">0.5 kgCO2e/kg (illustrative)</w:t>
      </w:r>
    </w:p>
    <w:p>
      <w:r>
        <w:pict>
          <v:rect style="width:0;height:1.5pt" o:hralign="center" o:hrstd="t" o:hr="t"/>
        </w:pict>
      </w:r>
    </w:p>
    <w:bookmarkEnd w:id="41"/>
    <w:bookmarkEnd w:id="42"/>
    <w:bookmarkStart w:id="54" w:name="emissions-calculation"/>
    <w:p>
      <w:pPr>
        <w:pStyle w:val="Heading1"/>
      </w:pPr>
      <w:r>
        <w:t xml:space="preserve">5. Emissions Calculation</w:t>
      </w:r>
    </w:p>
    <w:p>
      <w:pPr>
        <w:pStyle w:val="FirstParagraph"/>
      </w:pPr>
      <w:r>
        <w:t xml:space="preserve">This section quantifies the GHG emissions for each lifecycle stage, categorized according to the GHG Protocol Scopes.</w:t>
      </w:r>
    </w:p>
    <w:bookmarkStart w:id="43" w:name="scope-1-emissions"/>
    <w:p>
      <w:pPr>
        <w:pStyle w:val="Heading2"/>
      </w:pPr>
      <w:r>
        <w:t xml:space="preserve">5.1 Scope 1 Emissions</w:t>
      </w:r>
    </w:p>
    <w:p>
      <w:pPr>
        <w:pStyle w:val="FirstParagraph"/>
      </w:pPr>
      <w:r>
        <w:t xml:space="preserve">For this product carbon footprint analysis with a "factory_gate" system boundary, and given that the final production country is China (implying the factory is not directly owned or controlled by gjhvdfjivu for direct emissions, but rather a supply chain partner), there are no direct (Scope 1) emissions reported by gjhvdfjivu for this product\'s PCF. Any direct emissions at the manufacturing facility would be accounted for by the manufacturer themselves, or captured in Scope 3 Category 1 (Purchased Goods and Services) for gjhvdfjivu as part of the embodied emissions of the product.</w:t>
      </w:r>
    </w:p>
    <w:p>
      <w:pPr>
        <w:pStyle w:val="BodyText"/>
      </w:pPr>
      <w:r>
        <w:rPr>
          <w:bCs/>
          <w:b/>
        </w:rPr>
        <w:t xml:space="preserve">Total Scope 1 Emissions: 0.00 kgCO2e</w:t>
      </w:r>
    </w:p>
    <w:bookmarkEnd w:id="43"/>
    <w:bookmarkStart w:id="44" w:name="scope-2-emissions"/>
    <w:p>
      <w:pPr>
        <w:pStyle w:val="Heading2"/>
      </w:pPr>
      <w:r>
        <w:t xml:space="preserve">5.2 Scope 2 Emissions</w:t>
      </w:r>
    </w:p>
    <w:p>
      <w:pPr>
        <w:pStyle w:val="FirstParagraph"/>
      </w:pPr>
      <w:r>
        <w:t xml:space="preserve">These emissions arise from the purchased electricity for the production of xdpewofkuz at the Chinese manufacturing facility.</w:t>
      </w:r>
    </w:p>
    <w:p>
      <w:pPr>
        <w:numPr>
          <w:ilvl w:val="0"/>
          <w:numId w:val="1010"/>
        </w:numPr>
        <w:pStyle w:val="Compact"/>
      </w:pPr>
      <w:r>
        <w:t xml:space="preserve">Electricity Consumption (grid): 3.2 kWh/unit</w:t>
      </w:r>
    </w:p>
    <w:p>
      <w:pPr>
        <w:numPr>
          <w:ilvl w:val="0"/>
          <w:numId w:val="1010"/>
        </w:numPr>
        <w:pStyle w:val="Compact"/>
      </w:pPr>
      <w:r>
        <w:t xml:space="preserve">Emission Factor (China grid): 0.6205 kgCO2e/kWh</w:t>
      </w:r>
    </w:p>
    <w:p>
      <w:pPr>
        <w:numPr>
          <w:ilvl w:val="0"/>
          <w:numId w:val="1010"/>
        </w:numPr>
        <w:pStyle w:val="Compact"/>
      </w:pPr>
      <w:r>
        <w:rPr>
          <w:bCs/>
          <w:b/>
        </w:rPr>
        <w:t xml:space="preserve">Scope 2 Emissions = 3.2 kWh/unit * 0.6205 kgCO2e/kWh = 1.9856 kgCO2e</w:t>
      </w:r>
    </w:p>
    <w:p>
      <w:pPr>
        <w:pStyle w:val="FirstParagraph"/>
      </w:pPr>
      <w:r>
        <w:rPr>
          <w:bCs/>
          <w:b/>
        </w:rPr>
        <w:t xml:space="preserve">Total Scope 2 Emissions: 1.99 kgCO2e</w:t>
      </w:r>
    </w:p>
    <w:bookmarkEnd w:id="44"/>
    <w:bookmarkStart w:id="51" w:name="scope-3-emissions"/>
    <w:p>
      <w:pPr>
        <w:pStyle w:val="Heading2"/>
      </w:pPr>
      <w:r>
        <w:t xml:space="preserve">5.3 Scope 3 Emissions</w:t>
      </w:r>
    </w:p>
    <w:p>
      <w:pPr>
        <w:pStyle w:val="FirstParagraph"/>
      </w:pPr>
      <w:r>
        <w:t xml:space="preserve">Scope 3 encompasses all other indirect emissions throughout the value chain.</w:t>
      </w:r>
    </w:p>
    <w:bookmarkStart w:id="45" w:name="Xab9729a0caae076ca89f2f71668734f92723cf2"/>
    <w:p>
      <w:pPr>
        <w:pStyle w:val="Heading3"/>
      </w:pPr>
      <w:r>
        <w:t xml:space="preserve">5.3.1 Category 1: Purchased Goods and Services (Materials)</w:t>
      </w:r>
    </w:p>
    <w:p>
      <w:pPr>
        <w:pStyle w:val="FirstParagraph"/>
      </w:pPr>
      <w:r>
        <w:t xml:space="preserve">Emissions from the extraction, production, and processing of raw materials for the product and packaging.</w:t>
      </w:r>
    </w:p>
    <w:p>
      <w:pPr>
        <w:numPr>
          <w:ilvl w:val="0"/>
          <w:numId w:val="1011"/>
        </w:numPr>
        <w:pStyle w:val="Compact"/>
      </w:pPr>
      <w:r>
        <w:t xml:space="preserve">Steel Casing: 0.5 kg * 1.77 kgCO2e/kg = 0.885 kgCO2e</w:t>
      </w:r>
    </w:p>
    <w:p>
      <w:pPr>
        <w:numPr>
          <w:ilvl w:val="0"/>
          <w:numId w:val="1011"/>
        </w:numPr>
        <w:pStyle w:val="Compact"/>
      </w:pPr>
      <w:r>
        <w:t xml:space="preserve">Plastic Housing: 0.3 kg * 1.83 kgCO2e/kg = 0.549 kgCO2e</w:t>
      </w:r>
    </w:p>
    <w:p>
      <w:pPr>
        <w:numPr>
          <w:ilvl w:val="0"/>
          <w:numId w:val="1011"/>
        </w:numPr>
        <w:pStyle w:val="Compact"/>
      </w:pPr>
      <w:r>
        <w:t xml:space="preserve">Circuit Board: 0.1 unit * 65.0 kgCO2e/unit = 6.500 kgCO2e</w:t>
      </w:r>
    </w:p>
    <w:p>
      <w:pPr>
        <w:numPr>
          <w:ilvl w:val="0"/>
          <w:numId w:val="1011"/>
        </w:numPr>
        <w:pStyle w:val="Compact"/>
      </w:pPr>
      <w:r>
        <w:t xml:space="preserve">Copper Wire: 0.05 kg * 4.0 kgCO2e/kg = 0.200 kgCO2e</w:t>
      </w:r>
    </w:p>
    <w:p>
      <w:pPr>
        <w:numPr>
          <w:ilvl w:val="0"/>
          <w:numId w:val="1011"/>
        </w:numPr>
        <w:pStyle w:val="Compact"/>
      </w:pPr>
      <w:r>
        <w:t xml:space="preserve">Packaging (Cardboard): 0.2 kg * 0.71 kgCO2e/kg = 0.142 kgCO2e</w:t>
      </w:r>
    </w:p>
    <w:p>
      <w:pPr>
        <w:numPr>
          <w:ilvl w:val="0"/>
          <w:numId w:val="1011"/>
        </w:numPr>
        <w:pStyle w:val="Compact"/>
      </w:pPr>
      <w:r>
        <w:rPr>
          <w:bCs/>
          <w:b/>
        </w:rPr>
        <w:t xml:space="preserve">Total Category 1 Emissions: 8.276 kgCO2e</w:t>
      </w:r>
    </w:p>
    <w:bookmarkEnd w:id="45"/>
    <w:bookmarkStart w:id="46" w:name="X6669a43143349c25ec93e775eebde43de53a73c"/>
    <w:p>
      <w:pPr>
        <w:pStyle w:val="Heading3"/>
      </w:pPr>
      <w:r>
        <w:t xml:space="preserve">5.3.2 Category 4: Upstream Transportation and Distribution</w:t>
      </w:r>
    </w:p>
    <w:p>
      <w:pPr>
        <w:pStyle w:val="FirstParagraph"/>
      </w:pPr>
      <w:r>
        <w:t xml:space="preserve">Emissions from transporting raw materials and components to the manufacturing facility in China.</w:t>
      </w:r>
    </w:p>
    <w:p>
      <w:pPr>
        <w:numPr>
          <w:ilvl w:val="0"/>
          <w:numId w:val="1012"/>
        </w:numPr>
        <w:pStyle w:val="Compact"/>
      </w:pPr>
      <w:r>
        <w:t xml:space="preserve">Ocean Freight: 12,000 km * 0.00115 tonnes * 0.016 kgCO2e/tonne-km = 0.2208 kgCO2e</w:t>
      </w:r>
    </w:p>
    <w:p>
      <w:pPr>
        <w:numPr>
          <w:ilvl w:val="0"/>
          <w:numId w:val="1012"/>
        </w:numPr>
        <w:pStyle w:val="Compact"/>
      </w:pPr>
      <w:r>
        <w:t xml:space="preserve">Truck (Port to Factory): 800 km * 0.00115 tonnes * 0.105 kgCO2e/tonne-km = 0.0966 kgCO2e</w:t>
      </w:r>
    </w:p>
    <w:p>
      <w:pPr>
        <w:numPr>
          <w:ilvl w:val="0"/>
          <w:numId w:val="1012"/>
        </w:numPr>
        <w:pStyle w:val="Compact"/>
      </w:pPr>
      <w:r>
        <w:rPr>
          <w:bCs/>
          <w:b/>
        </w:rPr>
        <w:t xml:space="preserve">Total Category 4 Emissions: 0.3174 kgCO2e</w:t>
      </w:r>
    </w:p>
    <w:bookmarkEnd w:id="46"/>
    <w:bookmarkStart w:id="47" w:name="X25a0837e2ca53a982bfb6f58a50970139f4f25f"/>
    <w:p>
      <w:pPr>
        <w:pStyle w:val="Heading3"/>
      </w:pPr>
      <w:r>
        <w:t xml:space="preserve">5.3.3 Category 9: Downstream Transportation and Distribution</w:t>
      </w:r>
    </w:p>
    <w:p>
      <w:pPr>
        <w:pStyle w:val="FirstParagraph"/>
      </w:pPr>
      <w:r>
        <w:t xml:space="preserve">Emissions from transporting the finished product from the factory to the end customer in Europe.</w:t>
      </w:r>
    </w:p>
    <w:p>
      <w:pPr>
        <w:numPr>
          <w:ilvl w:val="0"/>
          <w:numId w:val="1013"/>
        </w:numPr>
        <w:pStyle w:val="Compact"/>
      </w:pPr>
      <w:r>
        <w:t xml:space="preserve">Ocean Freight: 12,000 km * 0.0012 tonnes * 0.016 kgCO2e/tonne-km = 0.2304 kgCO2e</w:t>
      </w:r>
    </w:p>
    <w:p>
      <w:pPr>
        <w:numPr>
          <w:ilvl w:val="0"/>
          <w:numId w:val="1013"/>
        </w:numPr>
        <w:pStyle w:val="Compact"/>
      </w:pPr>
      <w:r>
        <w:t xml:space="preserve">Truck (Port to Distribution Hub): 500 km * 0.0012 tonnes * 0.105 kgCO2e/tonne-km = 0.0630 kgCO2e</w:t>
      </w:r>
    </w:p>
    <w:p>
      <w:pPr>
        <w:numPr>
          <w:ilvl w:val="0"/>
          <w:numId w:val="1013"/>
        </w:numPr>
        <w:pStyle w:val="Compact"/>
      </w:pPr>
      <w:r>
        <w:t xml:space="preserve">Last-Mile Delivery (Parcel Courier): 1 unit * 0.181 kgCO2e/package = 0.1810 kgCO2e</w:t>
      </w:r>
    </w:p>
    <w:p>
      <w:pPr>
        <w:numPr>
          <w:ilvl w:val="0"/>
          <w:numId w:val="1013"/>
        </w:numPr>
        <w:pStyle w:val="Compact"/>
      </w:pPr>
      <w:r>
        <w:rPr>
          <w:bCs/>
          <w:b/>
        </w:rPr>
        <w:t xml:space="preserve">Total Category 9 Emissions: 0.4744 kgCO2e</w:t>
      </w:r>
    </w:p>
    <w:bookmarkEnd w:id="47"/>
    <w:bookmarkStart w:id="48" w:name="category-11-use-of-sold-products"/>
    <w:p>
      <w:pPr>
        <w:pStyle w:val="Heading3"/>
      </w:pPr>
      <w:r>
        <w:t xml:space="preserve">5.3.4 Category 11: Use of Sold Products</w:t>
      </w:r>
    </w:p>
    <w:p>
      <w:pPr>
        <w:pStyle w:val="FirstParagraph"/>
      </w:pPr>
      <w:r>
        <w:t xml:space="preserve">Emissions generated during the product\'s lifespan due to energy consumption.</w:t>
      </w:r>
    </w:p>
    <w:p>
      <w:pPr>
        <w:numPr>
          <w:ilvl w:val="0"/>
          <w:numId w:val="1014"/>
        </w:numPr>
        <w:pStyle w:val="Compact"/>
      </w:pPr>
      <w:r>
        <w:t xml:space="preserve">Energy Consumption: 25 kWh/year * 7 years = 175 kWh</w:t>
      </w:r>
    </w:p>
    <w:p>
      <w:pPr>
        <w:numPr>
          <w:ilvl w:val="0"/>
          <w:numId w:val="1014"/>
        </w:numPr>
        <w:pStyle w:val="Compact"/>
      </w:pPr>
      <w:r>
        <w:t xml:space="preserve">Emission Factor (European Grid): 0.25 kgCO2e/kWh</w:t>
      </w:r>
    </w:p>
    <w:p>
      <w:pPr>
        <w:numPr>
          <w:ilvl w:val="0"/>
          <w:numId w:val="1014"/>
        </w:numPr>
        <w:pStyle w:val="Compact"/>
      </w:pPr>
      <w:r>
        <w:rPr>
          <w:bCs/>
          <w:b/>
        </w:rPr>
        <w:t xml:space="preserve">Total Category 11 Emissions: 175 kWh * 0.25 kgCO2e/kWh = 43.7500 kgCO2e</w:t>
      </w:r>
    </w:p>
    <w:bookmarkEnd w:id="48"/>
    <w:bookmarkStart w:id="49" w:name="X9f66eef2700632e081dfe139021cb724ffcd2c5"/>
    <w:p>
      <w:pPr>
        <w:pStyle w:val="Heading3"/>
      </w:pPr>
      <w:r>
        <w:t xml:space="preserve">5.3.5 Category 12: End-of-Life Treatment of Sold Products</w:t>
      </w:r>
    </w:p>
    <w:p>
      <w:pPr>
        <w:pStyle w:val="FirstParagraph"/>
      </w:pPr>
      <w:r>
        <w:t xml:space="preserve">Emissions or avoided emissions from disposal and recycling.</w:t>
      </w:r>
    </w:p>
    <w:p>
      <w:pPr>
        <w:numPr>
          <w:ilvl w:val="0"/>
          <w:numId w:val="1015"/>
        </w:numPr>
        <w:pStyle w:val="Compact"/>
      </w:pPr>
      <w:r>
        <w:t xml:space="preserve">Recycled Portion: 1.0 kg * 0.85 (recyclability) = 0.85 kg</w:t>
      </w:r>
    </w:p>
    <w:p>
      <w:pPr>
        <w:numPr>
          <w:ilvl w:val="0"/>
          <w:numId w:val="1015"/>
        </w:numPr>
        <w:pStyle w:val="Compact"/>
      </w:pPr>
      <w:r>
        <w:t xml:space="preserve">Disposed Portion: 1.0 kg * 0.15 (non-recycled) = 0.15 kg</w:t>
      </w:r>
    </w:p>
    <w:p>
      <w:pPr>
        <w:numPr>
          <w:ilvl w:val="0"/>
          <w:numId w:val="1015"/>
        </w:numPr>
        <w:pStyle w:val="Compact"/>
      </w:pPr>
      <w:r>
        <w:t xml:space="preserve">Avoided Emissions (Recycling): 0.85 kg * -1.0 kgCO2e/kg = -0.8500 kgCO2e</w:t>
      </w:r>
    </w:p>
    <w:p>
      <w:pPr>
        <w:numPr>
          <w:ilvl w:val="0"/>
          <w:numId w:val="1015"/>
        </w:numPr>
        <w:pStyle w:val="Compact"/>
      </w:pPr>
      <w:r>
        <w:t xml:space="preserve">Disposal Emissions: 0.15 kg * 0.5 kgCO2e/kg = 0.0750 kgCO2e</w:t>
      </w:r>
    </w:p>
    <w:p>
      <w:pPr>
        <w:numPr>
          <w:ilvl w:val="0"/>
          <w:numId w:val="1015"/>
        </w:numPr>
        <w:pStyle w:val="Compact"/>
      </w:pPr>
      <w:r>
        <w:rPr>
          <w:bCs/>
          <w:b/>
        </w:rPr>
        <w:t xml:space="preserve">Total Category 12 Emissions: -0.8500 kgCO2e + 0.0750 kgCO2e = -0.7750 kgCO2e</w:t>
      </w:r>
      <w:r>
        <w:t xml:space="preserve"> </w:t>
      </w:r>
      <w:r>
        <w:t xml:space="preserve">(Net Benefit)</w:t>
      </w:r>
    </w:p>
    <w:bookmarkEnd w:id="49"/>
    <w:bookmarkStart w:id="50" w:name="table-5.3-summary-of-scope-3-emissions"/>
    <w:p>
      <w:pPr>
        <w:pStyle w:val="Heading3"/>
      </w:pPr>
      <w:r>
        <w:t xml:space="preserve">Table 5.3: Summary of Scope 3 Emissions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8.276</w:t>
            </w:r>
          </w:p>
        </w:tc>
      </w:tr>
      <w:tr>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0.317</w:t>
            </w:r>
          </w:p>
        </w:tc>
      </w:tr>
      <w:tr>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0.474</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43.750</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-0.775</w:t>
            </w:r>
          </w:p>
        </w:tc>
      </w:tr>
      <w:tr>
        <w:tc>
          <w:tcPr>
            <w:gridSpan w:val="2"/>
          </w:tcPr>
          <w:p>
            <w:pPr>
              <w:pStyle w:val="Compact"/>
              <w:jc w:val="right"/>
            </w:pPr>
            <w:r>
              <w:rPr>
                <w:bCs/>
                <w:b/>
              </w:rPr>
              <w:t xml:space="preserve">Total Scope 3 Emissions</w:t>
            </w:r>
          </w:p>
        </w:tc>
        <w:tc>
          <w:tcPr/>
          <w:p>
            <w:pPr>
              <w:pStyle w:val="Compact"/>
              <w:jc w:val="left"/>
            </w:pPr>
            <w:r>
              <w:rPr>
                <w:bCs/>
                <w:b/>
              </w:rPr>
              <w:t xml:space="preserve">52.043</w:t>
            </w:r>
          </w:p>
        </w:tc>
      </w:tr>
    </w:tbl>
    <w:bookmarkEnd w:id="50"/>
    <w:bookmarkEnd w:id="51"/>
    <w:bookmarkStart w:id="53" w:name="total-product-carbon-footprint-pcf"/>
    <w:p>
      <w:pPr>
        <w:pStyle w:val="Heading2"/>
      </w:pPr>
      <w:r>
        <w:t xml:space="preserve">5.4 Total Product Carbon Footprint (PCF)</w:t>
      </w:r>
    </w:p>
    <w:p>
      <w:pPr>
        <w:pStyle w:val="FirstParagraph"/>
      </w:pPr>
      <w:r>
        <w:t xml:space="preserve">The total cradle-to-grave PCF for one functional unit of xdpewofkuz is the sum of Scope 1, Scope 2, and Scope 3 emissions.</w:t>
      </w:r>
    </w:p>
    <w:p>
      <w:pPr>
        <w:numPr>
          <w:ilvl w:val="0"/>
          <w:numId w:val="1016"/>
        </w:numPr>
        <w:pStyle w:val="Compact"/>
      </w:pPr>
      <w:r>
        <w:t xml:space="preserve">Total Scope 1 Emissions: 0.00 kgCO2e</w:t>
      </w:r>
    </w:p>
    <w:p>
      <w:pPr>
        <w:numPr>
          <w:ilvl w:val="0"/>
          <w:numId w:val="1016"/>
        </w:numPr>
        <w:pStyle w:val="Compact"/>
      </w:pPr>
      <w:r>
        <w:t xml:space="preserve">Total Scope 2 Emissions: 1.9856 kgCO2e</w:t>
      </w:r>
    </w:p>
    <w:p>
      <w:pPr>
        <w:numPr>
          <w:ilvl w:val="0"/>
          <w:numId w:val="1016"/>
        </w:numPr>
        <w:pStyle w:val="Compact"/>
      </w:pPr>
      <w:r>
        <w:t xml:space="preserve">Total Scope 3 Emissions: 52.0428 kgCO2e</w:t>
      </w:r>
    </w:p>
    <w:p>
      <w:pPr>
        <w:pStyle w:val="FirstParagraph"/>
      </w:pPr>
      <w:r>
        <w:rPr>
          <w:bCs/>
          <w:b/>
        </w:rPr>
        <w:t xml:space="preserve">Total PCF = 0.00 + 1.9856 + 52.0428 = 54.0284 kgCO2e per unit of xdpewofkuz</w:t>
      </w:r>
    </w:p>
    <w:bookmarkStart w:id="52" w:name="X370dd0df0a61c5892f6c36fd2ed6c338351115d"/>
    <w:p>
      <w:pPr>
        <w:pStyle w:val="Heading3"/>
      </w:pPr>
      <w:r>
        <w:t xml:space="preserve">Table 5.4: Summary of Product Carbon Footprint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1.99</w:t>
            </w:r>
          </w:p>
        </w:tc>
        <w:tc>
          <w:tcPr/>
          <w:p>
            <w:pPr>
              <w:pStyle w:val="Compact"/>
              <w:jc w:val="left"/>
            </w:pPr>
            <w:r>
              <w:t xml:space="preserve">3.7%</w:t>
            </w:r>
          </w:p>
        </w:tc>
      </w:tr>
      <w:tr>
        <w:tc>
          <w:tcPr/>
          <w:p>
            <w:pPr>
              <w:pStyle w:val="Compact"/>
              <w:jc w:val="left"/>
            </w:pPr>
            <w:r>
              <w:t xml:space="preserve">Scope 3</w:t>
            </w:r>
          </w:p>
        </w:tc>
        <w:tc>
          <w:tcPr/>
          <w:p>
            <w:pPr>
              <w:pStyle w:val="Compact"/>
              <w:jc w:val="left"/>
            </w:pPr>
            <w:r>
              <w:t xml:space="preserve">52.04</w:t>
            </w:r>
          </w:p>
        </w:tc>
        <w:tc>
          <w:tcPr/>
          <w:p>
            <w:pPr>
              <w:pStyle w:val="Compact"/>
              <w:jc w:val="left"/>
            </w:pPr>
            <w:r>
              <w:t xml:space="preserve">96.3%</w:t>
            </w:r>
          </w:p>
        </w:tc>
      </w:tr>
      <w:tr>
        <w:tc>
          <w:tcPr/>
          <w:p>
            <w:pPr>
              <w:pStyle w:val="Compact"/>
              <w:jc w:val="right"/>
            </w:pPr>
            <w:r>
              <w:rPr>
                <w:bCs/>
                <w:b/>
              </w:rPr>
              <w:t xml:space="preserve">Total PCF</w:t>
            </w:r>
          </w:p>
        </w:tc>
        <w:tc>
          <w:tcPr/>
          <w:p>
            <w:pPr>
              <w:pStyle w:val="Compact"/>
              <w:jc w:val="left"/>
            </w:pPr>
            <w:r>
              <w:rPr>
                <w:bCs/>
                <w:b/>
              </w:rPr>
              <w:t xml:space="preserve">54.03</w:t>
            </w:r>
          </w:p>
        </w:tc>
        <w:tc>
          <w:tcPr/>
          <w:p>
            <w:pPr>
              <w:pStyle w:val="Compact"/>
              <w:jc w:val="left"/>
            </w:pPr>
            <w:r>
              <w:rPr>
                <w:bCs/>
                <w:b/>
              </w:rPr>
              <w:t xml:space="preserve">100.0%</w:t>
            </w:r>
          </w:p>
        </w:tc>
      </w:tr>
    </w:tbl>
    <w:p>
      <w:r>
        <w:pict>
          <v:rect style="width:0;height:1.5pt" o:hralign="center" o:hrstd="t" o:hr="t"/>
        </w:pict>
      </w:r>
    </w:p>
    <w:bookmarkEnd w:id="52"/>
    <w:bookmarkEnd w:id="53"/>
    <w:bookmarkEnd w:id="54"/>
    <w:bookmarkStart w:id="58" w:name="review-report"/>
    <w:p>
      <w:pPr>
        <w:pStyle w:val="Heading1"/>
      </w:pPr>
      <w:r>
        <w:t xml:space="preserve">6. Review &amp; Report</w:t>
      </w:r>
    </w:p>
    <w:bookmarkStart w:id="55" w:name="emission-hotspots"/>
    <w:p>
      <w:pPr>
        <w:pStyle w:val="Heading2"/>
      </w:pPr>
      <w:r>
        <w:t xml:space="preserve">6.1 Emission Hotspots</w:t>
      </w:r>
    </w:p>
    <w:p>
      <w:pPr>
        <w:pStyle w:val="FirstParagraph"/>
      </w:pPr>
      <w:r>
        <w:t xml:space="preserve">The analysis reveals the following key emission hotspots for xdpewofkuz:</w:t>
      </w:r>
    </w:p>
    <w:p>
      <w:pPr>
        <w:numPr>
          <w:ilvl w:val="0"/>
          <w:numId w:val="1017"/>
        </w:numPr>
        <w:pStyle w:val="Compact"/>
      </w:pPr>
      <w:r>
        <w:rPr>
          <w:bCs/>
          <w:b/>
        </w:rPr>
        <w:t xml:space="preserve">Use Phase (Scope 3, Category 11):</w:t>
      </w:r>
      <w:r>
        <w:t xml:space="preserve"> </w:t>
      </w:r>
      <w:r>
        <w:t xml:space="preserve">This constitutes the most significant portion of the PCF (approximately 81.0% of Scope 3 and 79.5% of total PCF). The energy consumption of 25 kWh/year over a 7-year lifespan in Europe drives this impact.</w:t>
      </w:r>
    </w:p>
    <w:p>
      <w:pPr>
        <w:numPr>
          <w:ilvl w:val="0"/>
          <w:numId w:val="1017"/>
        </w:numPr>
        <w:pStyle w:val="Compact"/>
      </w:pPr>
      <w:r>
        <w:rPr>
          <w:bCs/>
          <w:b/>
        </w:rPr>
        <w:t xml:space="preserve">Purchased Goods and Services (Scope 3, Category 1 - Materials):</w:t>
      </w:r>
      <w:r>
        <w:t xml:space="preserve"> </w:t>
      </w:r>
      <w:r>
        <w:t xml:space="preserve">Material production, particularly the Circuit Board (6.5 kgCO2e), accounts for approximately 15.9% of Scope 3 and 12.0% of total PCF.</w:t>
      </w:r>
    </w:p>
    <w:p>
      <w:pPr>
        <w:numPr>
          <w:ilvl w:val="0"/>
          <w:numId w:val="1017"/>
        </w:numPr>
        <w:pStyle w:val="Compact"/>
      </w:pPr>
      <w:r>
        <w:rPr>
          <w:bCs/>
          <w:b/>
        </w:rPr>
        <w:t xml:space="preserve">Production Energy (Scope 2):</w:t>
      </w:r>
      <w:r>
        <w:t xml:space="preserve"> </w:t>
      </w:r>
      <w:r>
        <w:t xml:space="preserve">While lower than Scope 3 categories, the electricity consumed during manufacturing is a notable direct operational emission source for the company.</w:t>
      </w:r>
    </w:p>
    <w:p>
      <w:pPr>
        <w:numPr>
          <w:ilvl w:val="0"/>
          <w:numId w:val="1017"/>
        </w:numPr>
        <w:pStyle w:val="Compact"/>
      </w:pPr>
      <w:r>
        <w:rPr>
          <w:bCs/>
          <w:b/>
        </w:rPr>
        <w:t xml:space="preserve">End-of-Life (Scope 3, Category 12):</w:t>
      </w:r>
      <w:r>
        <w:t xml:space="preserve"> </w:t>
      </w:r>
      <w:r>
        <w:t xml:space="preserve">The active take-back program and high recyclability lead to a net avoided emission, demonstrating a positive circular economy impact.</w:t>
      </w:r>
    </w:p>
    <w:bookmarkEnd w:id="55"/>
    <w:bookmarkStart w:id="56" w:name="reliability-and-limitations"/>
    <w:p>
      <w:pPr>
        <w:pStyle w:val="Heading2"/>
      </w:pPr>
      <w:r>
        <w:t xml:space="preserve">6.2 Reliability and Limitations</w:t>
      </w:r>
    </w:p>
    <w:p>
      <w:pPr>
        <w:pStyle w:val="FirstParagraph"/>
      </w:pPr>
      <w:r>
        <w:t xml:space="preserve">The reliability of this PCF analysis is based on:</w:t>
      </w:r>
    </w:p>
    <w:p>
      <w:pPr>
        <w:numPr>
          <w:ilvl w:val="0"/>
          <w:numId w:val="1018"/>
        </w:numPr>
        <w:pStyle w:val="Compact"/>
      </w:pPr>
      <w:r>
        <w:t xml:space="preserve">Adherence to the GHG Protocol standard.</w:t>
      </w:r>
    </w:p>
    <w:p>
      <w:pPr>
        <w:numPr>
          <w:ilvl w:val="0"/>
          <w:numId w:val="1018"/>
        </w:numPr>
        <w:pStyle w:val="Compact"/>
      </w:pPr>
      <w:r>
        <w:t xml:space="preserve">Use of industry-standard emission factors where primary data was unavailable.</w:t>
      </w:r>
    </w:p>
    <w:p>
      <w:pPr>
        <w:numPr>
          <w:ilvl w:val="0"/>
          <w:numId w:val="1018"/>
        </w:numPr>
        <w:pStyle w:val="Compact"/>
      </w:pPr>
      <w:r>
        <w:t xml:space="preserve">The comprehensive inclusion of Scope 3 categories, aiming for 95% coverage as per 2026 requirements.</w:t>
      </w:r>
    </w:p>
    <w:p>
      <w:pPr>
        <w:pStyle w:val="FirstParagraph"/>
      </w:pPr>
      <w:r>
        <w:t xml:space="preserve">Limitations include the reliance on assumed values for placeholders (e.g., specific transport distances, renewable energy percentage, energy in use, recyclability percentage, and generic emission factors for certain materials/processes) due to the nature of the prompt. Primary data collection for each specific component\'s supplier, actual energy consumption profiles, and exact logistics routes would enhance accuracy.</w:t>
      </w:r>
    </w:p>
    <w:bookmarkEnd w:id="56"/>
    <w:bookmarkStart w:id="57" w:name="recommendations-for-emission-reduction"/>
    <w:p>
      <w:pPr>
        <w:pStyle w:val="Heading2"/>
      </w:pPr>
      <w:r>
        <w:t xml:space="preserve">6.3 Recommendations for Emission Reduction</w:t>
      </w:r>
    </w:p>
    <w:p>
      <w:pPr>
        <w:pStyle w:val="FirstParagraph"/>
      </w:pPr>
      <w:r>
        <w:t xml:space="preserve">Based on the hotspot analysis, gjhvdfjivu should prioritize the following actions to reduce the PCF of xdpewofkuz:</w:t>
      </w:r>
    </w:p>
    <w:p>
      <w:pPr>
        <w:numPr>
          <w:ilvl w:val="0"/>
          <w:numId w:val="1019"/>
        </w:numPr>
        <w:pStyle w:val="Compact"/>
      </w:pPr>
      <w:r>
        <w:rPr>
          <w:bCs/>
          <w:b/>
        </w:rPr>
        <w:t xml:space="preserve">Optimize Use Phase Efficiency:</w:t>
      </w:r>
      <w:r>
        <w:t xml:space="preserve"> </w:t>
      </w:r>
      <w:r>
        <w:t xml:space="preserve">Focus on reducing the product\'s energy consumption during its operational lifespan. This could involve exploring more energy-efficient designs, components, or power management features. Educating customers on efficient use could also contribute.</w:t>
      </w:r>
    </w:p>
    <w:p>
      <w:pPr>
        <w:numPr>
          <w:ilvl w:val="0"/>
          <w:numId w:val="1019"/>
        </w:numPr>
        <w:pStyle w:val="Compact"/>
      </w:pPr>
      <w:r>
        <w:rPr>
          <w:bCs/>
          <w:b/>
        </w:rPr>
        <w:t xml:space="preserve">Material Decarbonization:</w:t>
      </w:r>
      <w:r>
        <w:t xml:space="preserve"> </w:t>
      </w:r>
      <w:r>
        <w:t xml:space="preserve">Investigate lower-carbon alternatives for the Circuit Board and other high-impact materials. Engage with suppliers to encourage the use of renewable energy in their production processes and to source materials with verified lower embodied carbon.</w:t>
      </w:r>
    </w:p>
    <w:p>
      <w:pPr>
        <w:numPr>
          <w:ilvl w:val="0"/>
          <w:numId w:val="1019"/>
        </w:numPr>
        <w:pStyle w:val="Compact"/>
      </w:pPr>
      <w:r>
        <w:rPr>
          <w:bCs/>
          <w:b/>
        </w:rPr>
        <w:t xml:space="preserve">Enhance Circularity:</w:t>
      </w:r>
      <w:r>
        <w:t xml:space="preserve"> </w:t>
      </w:r>
      <w:r>
        <w:t xml:space="preserve">Leverage the existing take-back program to maximize actual recycling rates and explore opportunities for component reuse or remanufacturing to further increase avoided emissions at end-of-life.</w:t>
      </w:r>
    </w:p>
    <w:p>
      <w:pPr>
        <w:numPr>
          <w:ilvl w:val="0"/>
          <w:numId w:val="1019"/>
        </w:numPr>
        <w:pStyle w:val="Compact"/>
      </w:pPr>
      <w:r>
        <w:rPr>
          <w:bCs/>
          <w:b/>
        </w:rPr>
        <w:t xml:space="preserve">Renewable Energy Adoption:</w:t>
      </w:r>
      <w:r>
        <w:t xml:space="preserve"> </w:t>
      </w:r>
      <w:r>
        <w:t xml:space="preserve">Continue and expand the use of renewable energy in manufacturing operations. Even if not directly owned, influence manufacturing partners in China to increase their renewable energy procurement.</w:t>
      </w:r>
    </w:p>
    <w:p>
      <w:pPr>
        <w:numPr>
          <w:ilvl w:val="0"/>
          <w:numId w:val="1019"/>
        </w:numPr>
        <w:pStyle w:val="Compact"/>
      </w:pPr>
      <w:r>
        <w:rPr>
          <w:bCs/>
          <w:b/>
        </w:rPr>
        <w:t xml:space="preserve">Logistics Optimization:</w:t>
      </w:r>
      <w:r>
        <w:t xml:space="preserve"> </w:t>
      </w:r>
      <w:r>
        <w:t xml:space="preserve">Continuously review and optimize transport modes and routes to minimize distances and prioritize lower-emission options (e.g., rail or sea over air where feasible and practical).</w:t>
      </w:r>
    </w:p>
    <w:p>
      <w:r>
        <w:pict>
          <v:rect style="width:0;height:1.5pt" o:hralign="center" o:hrstd="t" o:hr="t"/>
        </w:pict>
      </w:r>
    </w:p>
    <w:p>
      <w:pPr>
        <w:pStyle w:val="FirstParagraph"/>
      </w:pPr>
      <w:r>
        <w:t xml:space="preserve">Confidential - Internal Use Only | Page</w:t>
      </w:r>
      <w:r>
        <w:t xml:space="preserve"> </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xdpewofkuz</dc:title>
  <dc:creator/>
  <dc:description>High-detail Product Carbon Footprint (PCF) analysis for xdpewofkuz, conducted by gjhvdfjivu and jkfmntzzqd, adhering to GHG Protocol standards including 2026 LSR and Scope 3 updates.</dc:description>
  <dc:language>en</dc:language>
  <cp:keywords/>
  <dcterms:created xsi:type="dcterms:W3CDTF">2026-07-15T02:43:24Z</dcterms:created>
  <dcterms:modified xsi:type="dcterms:W3CDTF">2026-07-15T02:43:24Z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