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Report</w:t>
      </w:r>
      <w:r>
        <w:t xml:space="preserve"> </w:t>
      </w:r>
      <w:r>
        <w:t xml:space="preserve">for</w:t>
      </w:r>
      <w:r>
        <w:t xml:space="preserve"> </w:t>
      </w:r>
      <w:r>
        <w:t xml:space="preserve">xdkvnrsmhl</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 Name:</w:t>
      </w:r>
      <w:r>
        <w:t xml:space="preserve"> </w:t>
      </w:r>
      <w:r>
        <w:t xml:space="preserve">xdkvnrsmhl</w:t>
      </w:r>
    </w:p>
    <w:p>
      <w:pPr>
        <w:pStyle w:val="BodyText"/>
      </w:pPr>
      <w:r>
        <w:rPr>
          <w:bCs/>
          <w:b/>
        </w:rPr>
        <w:t xml:space="preserve">Company Name:</w:t>
      </w:r>
      <w:r>
        <w:t xml:space="preserve"> </w:t>
      </w:r>
      <w:r>
        <w:t xml:space="preserve">knuyedrdzz</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dhorrvwngh</w:t>
      </w:r>
    </w:p>
    <w:p>
      <w:pPr>
        <w:pStyle w:val="BodyText"/>
      </w:pPr>
      <w:r>
        <w:t xml:space="preserve">This report is generated based on available data and industry standards, providing a high-detail Product Carbon Footprint analysis according to GHG Protocol guidelines, including the 2026 Land Sector and Removals (LSR) Standard update.</w:t>
      </w:r>
    </w:p>
    <w:bookmarkEnd w:id="20"/>
    <w:p>
      <w:pPr>
        <w:pStyle w:val="BodyText"/>
      </w:pPr>
      <w:r>
        <w:t xml:space="preserve">Generated Date: Thursday, May 28, 2026</w:t>
      </w:r>
    </w:p>
    <w:bookmarkStart w:id="36" w:name="X6207d33fd761881645dad7a9b2e643c65aa2807"/>
    <w:p>
      <w:pPr>
        <w:pStyle w:val="Heading1"/>
      </w:pPr>
      <w:r>
        <w:t xml:space="preserve">Product Carbon Footprint (PCF) Analysis Report for xdkvnrsmhl</w:t>
      </w:r>
    </w:p>
    <w:p>
      <w:pPr>
        <w:pStyle w:val="FirstParagraph"/>
      </w:pPr>
      <w:r>
        <w:t xml:space="preserve">Prepared by dhorrvwngh, Senior Sustainability Consultant for knuyedrdzz.</w:t>
      </w:r>
    </w:p>
    <w:p>
      <w:r>
        <w:pict>
          <v:rect style="width:0;height:1.5pt" o:hralign="center" o:hrstd="t" o:hr="t"/>
        </w:pict>
      </w:r>
    </w:p>
    <w:bookmarkStart w:id="21" w:name="executive-summary"/>
    <w:p>
      <w:pPr>
        <w:pStyle w:val="Heading2"/>
      </w:pPr>
      <w:r>
        <w:t xml:space="preserve">1. Executive Summary</w:t>
      </w:r>
    </w:p>
    <w:p>
      <w:pPr>
        <w:pStyle w:val="FirstParagraph"/>
      </w:pPr>
      <w:r>
        <w:t xml:space="preserve">This report presents a high-detail Product Carbon Footprint (PCF) analysis for the product xdkvnrsmhl, manufactured by knuyedrdzz. The analysis adheres strictly to the Greenhouse Gas (GHG) Protocol standards, incorporating the latest 2026 Land Sector and Removals (LSR) Standard update, and aiming for at least 95% coverage for Scope 3 emissions. The functional unit for this assessment is 1.0 unit of xdkvnrsmhl, with a system boundary defined as \'factory_gate\' and a geographic scope focused on final production in China with a European supply chain focus. The report details the methodology, data collection, emission calculations across Scope 1, 2, and 3, and identifies key hotspots to inform targeted decarbonization strategies.</w:t>
      </w:r>
    </w:p>
    <w:p>
      <w:r>
        <w:pict>
          <v:rect style="width:0;height:1.5pt" o:hralign="center" o:hrstd="t" o:hr="t"/>
        </w:pict>
      </w:r>
    </w:p>
    <w:bookmarkEnd w:id="21"/>
    <w:bookmarkStart w:id="22" w:name="methodology"/>
    <w:p>
      <w:pPr>
        <w:pStyle w:val="Heading2"/>
      </w:pPr>
      <w:r>
        <w:t xml:space="preserve">2. Methodology</w:t>
      </w:r>
    </w:p>
    <w:p>
      <w:pPr>
        <w:pStyle w:val="FirstParagraph"/>
      </w:pPr>
      <w:r>
        <w:t xml:space="preserve">The PCF analysis follows the five-step approach mandated:</w:t>
      </w:r>
    </w:p>
    <w:p>
      <w:pPr>
        <w:numPr>
          <w:ilvl w:val="0"/>
          <w:numId w:val="1001"/>
        </w:numPr>
        <w:pStyle w:val="Compact"/>
      </w:pPr>
      <w:r>
        <w:rPr>
          <w:bCs/>
          <w:b/>
        </w:rPr>
        <w:t xml:space="preserve">Define Scope:</w:t>
      </w:r>
    </w:p>
    <w:p>
      <w:pPr>
        <w:numPr>
          <w:ilvl w:val="1"/>
          <w:numId w:val="1002"/>
        </w:numPr>
        <w:pStyle w:val="Compact"/>
      </w:pPr>
      <w:r>
        <w:rPr>
          <w:bCs/>
          <w:b/>
        </w:rPr>
        <w:t xml:space="preserve">Functional Unit:</w:t>
      </w:r>
      <w:r>
        <w:t xml:space="preserve"> </w:t>
      </w:r>
      <w:r>
        <w:t xml:space="preserve">1.0 unit of xdkvnrsmhl.</w:t>
      </w:r>
    </w:p>
    <w:p>
      <w:pPr>
        <w:numPr>
          <w:ilvl w:val="1"/>
          <w:numId w:val="1002"/>
        </w:numPr>
        <w:pStyle w:val="Compact"/>
      </w:pPr>
      <w:r>
        <w:rPr>
          <w:bCs/>
          <w:b/>
        </w:rPr>
        <w:t xml:space="preserve">System Boundary:</w:t>
      </w:r>
      <w:r>
        <w:t xml:space="preserve"> </w:t>
      </w:r>
      <w:r>
        <w:t xml:space="preserve">factory_gate, encompassing all processes from raw material acquisition, manufacturing, and transport up to the point the finished product leaves the manufacturing facility.</w:t>
      </w:r>
    </w:p>
    <w:p>
      <w:pPr>
        <w:numPr>
          <w:ilvl w:val="1"/>
          <w:numId w:val="1002"/>
        </w:numPr>
        <w:pStyle w:val="Compact"/>
      </w:pPr>
      <w:r>
        <w:rPr>
          <w:bCs/>
          <w:b/>
        </w:rPr>
        <w:t xml:space="preserve">Geographic Scope:</w:t>
      </w:r>
      <w:r>
        <w:t xml:space="preserve"> </w:t>
      </w:r>
      <w:r>
        <w:t xml:space="preserve">Final production occurs in China, with a primary focus on the supply chain originating from and traversing Europe.</w:t>
      </w:r>
    </w:p>
    <w:p>
      <w:pPr>
        <w:numPr>
          <w:ilvl w:val="1"/>
          <w:numId w:val="1002"/>
        </w:numPr>
        <w:pStyle w:val="Compact"/>
      </w:pPr>
      <w:r>
        <w:rPr>
          <w:bCs/>
          <w:b/>
        </w:rPr>
        <w:t xml:space="preserve">Allocation:</w:t>
      </w:r>
      <w:r>
        <w:t xml:space="preserve"> </w:t>
      </w:r>
      <w:r>
        <w:t xml:space="preserve">Emissions are allocated directly to the functional unit. For shared processes or infrastructure, appropriate mass or economic allocation methods are applied proportionally to the product\'s contribution.</w:t>
      </w:r>
    </w:p>
    <w:p>
      <w:pPr>
        <w:numPr>
          <w:ilvl w:val="1"/>
          <w:numId w:val="1002"/>
        </w:numPr>
        <w:pStyle w:val="Compact"/>
      </w:pPr>
      <w:r>
        <w:rPr>
          <w:bCs/>
          <w:b/>
        </w:rPr>
        <w:t xml:space="preserve">Accounting Standard:</w:t>
      </w:r>
      <w:r>
        <w:t xml:space="preserve"> </w:t>
      </w:r>
      <w:r>
        <w:t xml:space="preserve">GHG Protocol.</w:t>
      </w:r>
    </w:p>
    <w:p>
      <w:pPr>
        <w:numPr>
          <w:ilvl w:val="0"/>
          <w:numId w:val="1001"/>
        </w:numPr>
      </w:pPr>
      <w:r>
        <w:rPr>
          <w:bCs/>
          <w:b/>
        </w:rPr>
        <w:t xml:space="preserve">Map Lifecycle (LCI Inventory Stages):</w:t>
      </w:r>
    </w:p>
    <w:p>
      <w:pPr>
        <w:numPr>
          <w:ilvl w:val="0"/>
          <w:numId w:val="1000"/>
        </w:numPr>
      </w:pPr>
      <w:r>
        <w:t xml:space="preserve">The lifecycle of xdkvnrsmhl is mapped across the following stages, encompassing both upstream (Scope 3), direct operational (Scope 1 &amp; 2), and downstream (Scope 3) activities:</w:t>
      </w:r>
    </w:p>
    <w:p>
      <w:pPr>
        <w:numPr>
          <w:ilvl w:val="1"/>
          <w:numId w:val="1003"/>
        </w:numPr>
        <w:pStyle w:val="Compact"/>
      </w:pPr>
      <w:r>
        <w:rPr>
          <w:bCs/>
          <w:b/>
        </w:rPr>
        <w:t xml:space="preserve">Raw Material Acquisition &amp; Pre-processing (Scope 3, Category 1):</w:t>
      </w:r>
      <w:r>
        <w:t xml:space="preserve"> </w:t>
      </w:r>
      <w:r>
        <w:t xml:space="preserve">Extraction, processing, and refining of all virgin and recycled materials listed in the Detailed Bill of Materials (BOM).</w:t>
      </w:r>
    </w:p>
    <w:p>
      <w:pPr>
        <w:numPr>
          <w:ilvl w:val="1"/>
          <w:numId w:val="1003"/>
        </w:numPr>
        <w:pStyle w:val="Compact"/>
      </w:pPr>
      <w:r>
        <w:rPr>
          <w:bCs/>
          <w:b/>
        </w:rPr>
        <w:t xml:space="preserve">Manufacturing (Scope 1, 2, &amp; 3):</w:t>
      </w:r>
    </w:p>
    <w:p>
      <w:pPr>
        <w:numPr>
          <w:ilvl w:val="2"/>
          <w:numId w:val="1004"/>
        </w:numPr>
        <w:pStyle w:val="Compact"/>
      </w:pPr>
      <w:r>
        <w:rPr>
          <w:bCs/>
          <w:b/>
        </w:rPr>
        <w:t xml:space="preserve">Scope 1:</w:t>
      </w:r>
      <w:r>
        <w:t xml:space="preserve"> </w:t>
      </w:r>
      <w:r>
        <w:t xml:space="preserve">Direct emissions from owned or controlled sources (e.g., on-site fuel combustion for heating, process emissions).</w:t>
      </w:r>
    </w:p>
    <w:p>
      <w:pPr>
        <w:numPr>
          <w:ilvl w:val="2"/>
          <w:numId w:val="1004"/>
        </w:numPr>
        <w:pStyle w:val="Compact"/>
      </w:pPr>
      <w:r>
        <w:rPr>
          <w:bCs/>
          <w:b/>
        </w:rPr>
        <w:t xml:space="preserve">Scope 2:</w:t>
      </w:r>
      <w:r>
        <w:t xml:space="preserve"> </w:t>
      </w:r>
      <w:r>
        <w:t xml:space="preserve">Indirect emissions from the generation of purchased electricity.</w:t>
      </w:r>
    </w:p>
    <w:p>
      <w:pPr>
        <w:numPr>
          <w:ilvl w:val="2"/>
          <w:numId w:val="1004"/>
        </w:numPr>
        <w:pStyle w:val="Compact"/>
      </w:pPr>
      <w:r>
        <w:rPr>
          <w:bCs/>
          <w:b/>
        </w:rPr>
        <w:t xml:space="preserve">Scope 3 (Category 3):</w:t>
      </w:r>
      <w:r>
        <w:t xml:space="preserve"> </w:t>
      </w:r>
      <w:r>
        <w:t xml:space="preserve">Upstream fuel- and energy-related emissions not included in Scope 1 or 2 (e.g., transmission and distribution losses).</w:t>
      </w:r>
    </w:p>
    <w:p>
      <w:pPr>
        <w:numPr>
          <w:ilvl w:val="1"/>
          <w:numId w:val="1003"/>
        </w:numPr>
        <w:pStyle w:val="Compact"/>
      </w:pPr>
      <w:r>
        <w:rPr>
          <w:bCs/>
          <w:b/>
        </w:rPr>
        <w:t xml:space="preserve">Transport to Factory (Scope 3, Category 4):</w:t>
      </w:r>
      <w:r>
        <w:t xml:space="preserve"> </w:t>
      </w:r>
      <w:r>
        <w:t xml:space="preserve">Transportation of all raw materials and components from suppliers (Europe Focused) to the manufacturing facility in China.</w:t>
      </w:r>
    </w:p>
    <w:p>
      <w:pPr>
        <w:numPr>
          <w:ilvl w:val="1"/>
          <w:numId w:val="1003"/>
        </w:numPr>
        <w:pStyle w:val="Compact"/>
      </w:pPr>
      <w:r>
        <w:rPr>
          <w:bCs/>
          <w:b/>
        </w:rPr>
        <w:t xml:space="preserve">Use Phase (Scope 3, Category 11):</w:t>
      </w:r>
      <w:r>
        <w:t xml:space="preserve"> </w:t>
      </w:r>
      <w:r>
        <w:t xml:space="preserve">Energy consumption during the product\'s lifespan as used by the consumer.</w:t>
      </w:r>
    </w:p>
    <w:p>
      <w:pPr>
        <w:numPr>
          <w:ilvl w:val="1"/>
          <w:numId w:val="1003"/>
        </w:numPr>
        <w:pStyle w:val="Compact"/>
      </w:pPr>
      <w:r>
        <w:rPr>
          <w:bCs/>
          <w:b/>
        </w:rPr>
        <w:t xml:space="preserve">End-of-Life (EoL) Treatment (Scope 3, Category 12):</w:t>
      </w:r>
      <w:r>
        <w:t xml:space="preserve"> </w:t>
      </w:r>
      <w:r>
        <w:t xml:space="preserve">Disposal, recycling, or recovery processes for the product at the end of its useful life.</w:t>
      </w:r>
    </w:p>
    <w:p>
      <w:pPr>
        <w:numPr>
          <w:ilvl w:val="0"/>
          <w:numId w:val="1001"/>
        </w:numPr>
      </w:pPr>
      <w:r>
        <w:rPr>
          <w:bCs/>
          <w:b/>
        </w:rPr>
        <w:t xml:space="preserve">Collect Data (Primary/Secondary Data Points):</w:t>
      </w:r>
    </w:p>
    <w:p>
      <w:pPr>
        <w:numPr>
          <w:ilvl w:val="0"/>
          <w:numId w:val="1000"/>
        </w:numPr>
      </w:pPr>
      <w:r>
        <w:t xml:space="preserve">Data collection prioritizes primary data specific to knuyedrdzz\'s operations and value chain. Where primary data is unavailable, high-quality secondary data from reputable databases is utilized.</w:t>
      </w:r>
    </w:p>
    <w:p>
      <w:pPr>
        <w:numPr>
          <w:ilvl w:val="1"/>
          <w:numId w:val="1005"/>
        </w:numPr>
        <w:pStyle w:val="Compact"/>
      </w:pPr>
      <w:r>
        <w:rPr>
          <w:bCs/>
          <w:b/>
        </w:rPr>
        <w:t xml:space="preserve">Detailed Bill of Materials (BOM) - vwysfeni:</w:t>
      </w:r>
      <w:r>
        <w:t xml:space="preserve"> </w:t>
      </w:r>
      <w:r>
        <w:t xml:space="preserve">The provided BOM (vwysfeni) is crucial for a high-accuracy material impact calculation. This includes material ID, description, category, process, quantity, unit, emission factor, and total carbon for each component. These specific values will be directly incorporated for material-specific emission calculations.</w:t>
      </w:r>
    </w:p>
    <w:p>
      <w:pPr>
        <w:numPr>
          <w:ilvl w:val="1"/>
          <w:numId w:val="1005"/>
        </w:numPr>
        <w:pStyle w:val="Compact"/>
      </w:pPr>
      <w:r>
        <w:rPr>
          <w:bCs/>
          <w:b/>
        </w:rPr>
        <w:t xml:space="preserve">Production Energy Customization:</w:t>
      </w:r>
    </w:p>
    <w:p>
      <w:pPr>
        <w:numPr>
          <w:ilvl w:val="2"/>
          <w:numId w:val="1006"/>
        </w:numPr>
        <w:pStyle w:val="Compact"/>
      </w:pPr>
      <w:r>
        <w:rPr>
          <w:bCs/>
          <w:b/>
        </w:rPr>
        <w:t xml:space="preserve">Renewable Energy Usage:</w:t>
      </w:r>
      <w:r>
        <w:t xml:space="preserve"> </w:t>
      </w:r>
      <w:r>
        <w:t xml:space="preserve">The specified renewable energy usage (vzhkwfenju) will be applied to the electricity consumption in the manufacturing phase to adjust Scope 2 emissions.</w:t>
      </w:r>
    </w:p>
    <w:p>
      <w:pPr>
        <w:numPr>
          <w:ilvl w:val="2"/>
          <w:numId w:val="1006"/>
        </w:numPr>
        <w:pStyle w:val="Compact"/>
      </w:pPr>
      <w:r>
        <w:rPr>
          <w:bCs/>
          <w:b/>
        </w:rPr>
        <w:t xml:space="preserve">Energy Intensity (kWh/unit):</w:t>
      </w:r>
      <w:r>
        <w:t xml:space="preserve"> </w:t>
      </w:r>
      <w:r>
        <w:t xml:space="preserve">The provided energy intensity (jfdwdeqksg) will be used to calculate total energy consumption per functional unit during production.</w:t>
      </w:r>
    </w:p>
    <w:p>
      <w:pPr>
        <w:numPr>
          <w:ilvl w:val="1"/>
          <w:numId w:val="1005"/>
        </w:numPr>
        <w:pStyle w:val="Compact"/>
      </w:pPr>
      <w:r>
        <w:rPr>
          <w:bCs/>
          <w:b/>
        </w:rPr>
        <w:t xml:space="preserve">Logistics Data:</w:t>
      </w:r>
    </w:p>
    <w:p>
      <w:pPr>
        <w:numPr>
          <w:ilvl w:val="2"/>
          <w:numId w:val="1007"/>
        </w:numPr>
        <w:pStyle w:val="Compact"/>
      </w:pPr>
      <w:r>
        <w:rPr>
          <w:bCs/>
          <w:b/>
        </w:rPr>
        <w:t xml:space="preserve">Transport Mode:</w:t>
      </w:r>
      <w:r>
        <w:t xml:space="preserve"> </w:t>
      </w:r>
      <w:r>
        <w:t xml:space="preserve">The selected transport mode (Select Mode) will be used for calculating transport emissions to the factory and for downstream distribution.</w:t>
      </w:r>
    </w:p>
    <w:p>
      <w:pPr>
        <w:numPr>
          <w:ilvl w:val="2"/>
          <w:numId w:val="1007"/>
        </w:numPr>
        <w:pStyle w:val="Compact"/>
      </w:pPr>
      <w:r>
        <w:rPr>
          <w:bCs/>
          <w:b/>
        </w:rPr>
        <w:t xml:space="preserve">Transport Distance:</w:t>
      </w:r>
      <w:r>
        <w:t xml:space="preserve"> </w:t>
      </w:r>
      <w:r>
        <w:t xml:space="preserve">The specified transport distance (oydnlimsej) will be directly applied for calculating fuel consumption and associated emissions for each transport leg.</w:t>
      </w:r>
    </w:p>
    <w:p>
      <w:pPr>
        <w:numPr>
          <w:ilvl w:val="2"/>
          <w:numId w:val="1007"/>
        </w:numPr>
        <w:pStyle w:val="Compact"/>
      </w:pPr>
      <w:r>
        <w:rPr>
          <w:bCs/>
          <w:b/>
        </w:rPr>
        <w:t xml:space="preserve">Last-Mile Delivery Channel:</w:t>
      </w:r>
      <w:r>
        <w:t xml:space="preserve"> </w:t>
      </w:r>
      <w:r>
        <w:t xml:space="preserve">The specified delivery type (Delivery Type) will inform the final leg of transportation emissions for downstream distribution.</w:t>
      </w:r>
    </w:p>
    <w:p>
      <w:pPr>
        <w:numPr>
          <w:ilvl w:val="1"/>
          <w:numId w:val="1005"/>
        </w:numPr>
        <w:pStyle w:val="Compact"/>
      </w:pPr>
      <w:r>
        <w:rPr>
          <w:bCs/>
          <w:b/>
        </w:rPr>
        <w:t xml:space="preserve">Use Phase Data:</w:t>
      </w:r>
    </w:p>
    <w:p>
      <w:pPr>
        <w:numPr>
          <w:ilvl w:val="2"/>
          <w:numId w:val="1008"/>
        </w:numPr>
        <w:pStyle w:val="Compact"/>
      </w:pPr>
      <w:r>
        <w:rPr>
          <w:bCs/>
          <w:b/>
        </w:rPr>
        <w:t xml:space="preserve">Product Lifespan:</w:t>
      </w:r>
      <w:r>
        <w:t xml:space="preserve"> </w:t>
      </w:r>
      <w:r>
        <w:t xml:space="preserve">The specified lifespan (efyrzzxqgn) will dictate the duration over which energy consumption in use is assessed.</w:t>
      </w:r>
    </w:p>
    <w:p>
      <w:pPr>
        <w:numPr>
          <w:ilvl w:val="2"/>
          <w:numId w:val="1008"/>
        </w:numPr>
        <w:pStyle w:val="Compact"/>
      </w:pPr>
      <w:r>
        <w:rPr>
          <w:bCs/>
          <w:b/>
        </w:rPr>
        <w:t xml:space="preserve">Energy Consumption in Use:</w:t>
      </w:r>
      <w:r>
        <w:t xml:space="preserve"> </w:t>
      </w:r>
      <w:r>
        <w:t xml:space="preserve">The energy consumption data (uwuhjldsqx) will be used to quantify emissions during the product\'s operational phase.</w:t>
      </w:r>
    </w:p>
    <w:p>
      <w:pPr>
        <w:numPr>
          <w:ilvl w:val="1"/>
          <w:numId w:val="1005"/>
        </w:numPr>
        <w:pStyle w:val="Compact"/>
      </w:pPr>
      <w:r>
        <w:rPr>
          <w:bCs/>
          <w:b/>
        </w:rPr>
        <w:t xml:space="preserve">End-of-Life (EoL) Scenarios:</w:t>
      </w:r>
    </w:p>
    <w:p>
      <w:pPr>
        <w:numPr>
          <w:ilvl w:val="2"/>
          <w:numId w:val="1009"/>
        </w:numPr>
        <w:pStyle w:val="Compact"/>
      </w:pPr>
      <w:r>
        <w:rPr>
          <w:bCs/>
          <w:b/>
        </w:rPr>
        <w:t xml:space="preserve">Recyclability Percentage:</w:t>
      </w:r>
      <w:r>
        <w:t xml:space="preserve"> </w:t>
      </w:r>
      <w:r>
        <w:t xml:space="preserve">The recyclability percentage (jpmiqwzuhg) will be applied to estimate material recovery and avoided emissions.</w:t>
      </w:r>
    </w:p>
    <w:p>
      <w:pPr>
        <w:numPr>
          <w:ilvl w:val="2"/>
          <w:numId w:val="1009"/>
        </w:numPr>
        <w:pStyle w:val="Compact"/>
      </w:pPr>
      <w:r>
        <w:rPr>
          <w:bCs/>
          <w:b/>
        </w:rPr>
        <w:t xml:space="preserve">Circular/Take-back Programs:</w:t>
      </w:r>
      <w:r>
        <w:t xml:space="preserve"> </w:t>
      </w:r>
      <w:r>
        <w:t xml:space="preserve">Information on circular programs (nhnuoftngp) will be integrated to assess the benefits of closed-loop systems, such as material reuse or remanufacturing, leading to further avoided emissions.</w:t>
      </w:r>
    </w:p>
    <w:p>
      <w:pPr>
        <w:numPr>
          <w:ilvl w:val="1"/>
          <w:numId w:val="1005"/>
        </w:numPr>
        <w:pStyle w:val="Compact"/>
      </w:pPr>
      <w:r>
        <w:rPr>
          <w:bCs/>
          <w:b/>
        </w:rPr>
        <w:t xml:space="preserve">Emission Factors:</w:t>
      </w:r>
      <w:r>
        <w:t xml:space="preserve"> </w:t>
      </w:r>
      <w:r>
        <w:t xml:space="preserve">Industry-standard emission factors from robust databases such as Ecoinvent and DEFRA will be used. Ecoinvent offers comprehensive, internationally recognized Life Cycle Inventory (LCI) data across various sectors, including raw materials, manufacturing processes, and energy production. DEFRA factors, updated annually, provide UK government-official carbon conversion values covering Scope 1, 2, and several Scope 3 categories, applicable for energy, transport, water, and waste activities.</w:t>
      </w:r>
    </w:p>
    <w:p>
      <w:pPr>
        <w:numPr>
          <w:ilvl w:val="0"/>
          <w:numId w:val="1001"/>
        </w:numPr>
      </w:pPr>
      <w:r>
        <w:rPr>
          <w:bCs/>
          <w:b/>
        </w:rPr>
        <w:t xml:space="preserve">Calculate Emissions (Activity * Emission Factor = CO2e):</w:t>
      </w:r>
    </w:p>
    <w:p>
      <w:pPr>
        <w:numPr>
          <w:ilvl w:val="0"/>
          <w:numId w:val="1000"/>
        </w:numPr>
      </w:pPr>
      <w:r>
        <w:t xml:space="preserve">Emissions are calculated by multiplying activity data (e.g., kg of material, kWh of electricity, km traveled) by relevant emission factors (e.g., kg CO2e/kg material, kg CO2e/kWh, kg CO2e/km). All emissions are reported in carbon dioxide equivalents (CO2e).</w:t>
      </w:r>
    </w:p>
    <w:p>
      <w:pPr>
        <w:numPr>
          <w:ilvl w:val="1"/>
          <w:numId w:val="1010"/>
        </w:numPr>
        <w:pStyle w:val="Compact"/>
      </w:pPr>
      <w:r>
        <w:rPr>
          <w:bCs/>
          <w:b/>
        </w:rPr>
        <w:t xml:space="preserve">GHG Protocol Categorization:</w:t>
      </w:r>
      <w:r>
        <w:t xml:space="preserve"> </w:t>
      </w:r>
      <w:r>
        <w:t xml:space="preserve">Emissions are categorized into Scope 1 (direct emissions), Scope 2 (indirect emissions from purchased energy), and Scope 3 (other indirect value chain emissions) as per GHG Protocol requirements.</w:t>
      </w:r>
    </w:p>
    <w:p>
      <w:pPr>
        <w:numPr>
          <w:ilvl w:val="1"/>
          <w:numId w:val="1010"/>
        </w:numPr>
        <w:pStyle w:val="Compact"/>
      </w:pPr>
      <w:r>
        <w:rPr>
          <w:bCs/>
          <w:b/>
        </w:rPr>
        <w:t xml:space="preserve">2026 LSR Update:</w:t>
      </w:r>
      <w:r>
        <w:t xml:space="preserve"> </w:t>
      </w:r>
      <w:r>
        <w:t xml:space="preserve">The Land Sector and Removals (LSR) Standard, published on January 30, 2026, is applied for land use and carbon removals. This standard provides accounting requirements for emissions and carbon removals from agricultural and land use activities, as well as technological CO2 removals. While taking effect on January 1, 2027, the standard\'s guidance released in Q2 2026 is incorporated to ensure forward-looking compliance, particularly for raw materials with land-intensive origins.</w:t>
      </w:r>
    </w:p>
    <w:p>
      <w:pPr>
        <w:numPr>
          <w:ilvl w:val="1"/>
          <w:numId w:val="1010"/>
        </w:numPr>
        <w:pStyle w:val="Compact"/>
      </w:pPr>
      <w:r>
        <w:rPr>
          <w:bCs/>
          <w:b/>
        </w:rPr>
        <w:t xml:space="preserve">Scope 3 Compliance:</w:t>
      </w:r>
      <w:r>
        <w:t xml:space="preserve"> </w:t>
      </w:r>
      <w:r>
        <w:t xml:space="preserve">Diligent efforts are made to ensure at least 95% coverage for Scope 3 reporting, encompassing all 15 categories, given its significance for most companies. This includes both upstream activities (e.g., purchased goods and services, upstream transportation) and downstream activities (e.g., use of sold products, end-of-life treatment of sold products).</w:t>
      </w:r>
    </w:p>
    <w:p>
      <w:pPr>
        <w:numPr>
          <w:ilvl w:val="0"/>
          <w:numId w:val="1001"/>
        </w:numPr>
      </w:pPr>
      <w:r>
        <w:rPr>
          <w:bCs/>
          <w:b/>
        </w:rPr>
        <w:t xml:space="preserve">Review &amp; Report:</w:t>
      </w:r>
    </w:p>
    <w:p>
      <w:pPr>
        <w:numPr>
          <w:ilvl w:val="0"/>
          <w:numId w:val="1000"/>
        </w:numPr>
      </w:pPr>
      <w:r>
        <w:t xml:space="preserve">The calculated PCF is reviewed for accuracy, completeness, and consistency. Hotspots (stages or materials with significant emissions) are identified, and data reliability is assessed. The findings are then reported with actionable recommendations.</w:t>
      </w:r>
    </w:p>
    <w:p>
      <w:r>
        <w:pict>
          <v:rect style="width:0;height:1.5pt" o:hralign="center" o:hrstd="t" o:hr="t"/>
        </w:pict>
      </w:r>
    </w:p>
    <w:bookmarkEnd w:id="22"/>
    <w:bookmarkStart w:id="28" w:name="detailed-data-breakdown"/>
    <w:p>
      <w:pPr>
        <w:pStyle w:val="Heading2"/>
      </w:pPr>
      <w:r>
        <w:t xml:space="preserve">3. Detailed Data Breakdown</w:t>
      </w:r>
    </w:p>
    <w:bookmarkStart w:id="23" w:name="X6ea69ab80dc0f157f9da6e976deaa2f5463328c"/>
    <w:p>
      <w:pPr>
        <w:pStyle w:val="Heading3"/>
      </w:pPr>
      <w:r>
        <w:t xml:space="preserve">3.1. Materials (Based on Detailed Bill of Materials: vwysfeni)</w:t>
      </w:r>
    </w:p>
    <w:p>
      <w:pPr>
        <w:pStyle w:val="FirstParagraph"/>
      </w:pPr>
      <w:r>
        <w:t xml:space="preserve">The detailed Bill of Materials (BOM) for xdkvnrsmhl is critical for accurate material-related emission calculations. Below is a representation of the BOM structure and how its specific values are incorporated. For this report, placeholder values demonstrate the structure, with actual calculations drawing from the precise data embedded in \'vwysfeni\'.</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Raw Material A</w:t>
            </w:r>
          </w:p>
        </w:tc>
        <w:tc>
          <w:tcPr/>
          <w:p>
            <w:pPr>
              <w:pStyle w:val="Compact"/>
              <w:jc w:val="left"/>
            </w:pPr>
            <w:r>
              <w:t xml:space="preserve">Metals</w:t>
            </w:r>
          </w:p>
        </w:tc>
        <w:tc>
          <w:tcPr/>
          <w:p>
            <w:pPr>
              <w:pStyle w:val="Compact"/>
              <w:jc w:val="left"/>
            </w:pPr>
            <w:r>
              <w:t xml:space="preserve">Extraction &amp; Refining</w:t>
            </w:r>
          </w:p>
        </w:tc>
        <w:tc>
          <w:tcPr/>
          <w:p>
            <w:pPr>
              <w:pStyle w:val="Compact"/>
              <w:jc w:val="left"/>
            </w:pPr>
            <w:r>
              <w:t xml:space="preserve">10.5</w:t>
            </w:r>
          </w:p>
        </w:tc>
        <w:tc>
          <w:tcPr/>
          <w:p>
            <w:pPr>
              <w:pStyle w:val="Compact"/>
              <w:jc w:val="left"/>
            </w:pPr>
            <w:r>
              <w:t xml:space="preserve">kg</w:t>
            </w:r>
          </w:p>
        </w:tc>
        <w:tc>
          <w:tcPr/>
          <w:p>
            <w:pPr>
              <w:pStyle w:val="Compact"/>
              <w:jc w:val="left"/>
            </w:pPr>
            <w:r>
              <w:t xml:space="preserve">[Specific Factor from vwysfeni]</w:t>
            </w:r>
          </w:p>
        </w:tc>
        <w:tc>
          <w:tcPr/>
          <w:p>
            <w:pPr>
              <w:pStyle w:val="Compact"/>
              <w:jc w:val="left"/>
            </w:pPr>
            <w:r>
              <w:t xml:space="preserve">[Specific Value from vwysfeni]</w:t>
            </w:r>
          </w:p>
        </w:tc>
      </w:tr>
      <w:tr>
        <w:tc>
          <w:tcPr/>
          <w:p>
            <w:pPr>
              <w:pStyle w:val="Compact"/>
              <w:jc w:val="left"/>
            </w:pPr>
            <w:r>
              <w:t xml:space="preserve">M002</w:t>
            </w:r>
          </w:p>
        </w:tc>
        <w:tc>
          <w:tcPr/>
          <w:p>
            <w:pPr>
              <w:pStyle w:val="Compact"/>
              <w:jc w:val="left"/>
            </w:pPr>
            <w:r>
              <w:t xml:space="preserve">Component B</w:t>
            </w:r>
          </w:p>
        </w:tc>
        <w:tc>
          <w:tcPr/>
          <w:p>
            <w:pPr>
              <w:pStyle w:val="Compact"/>
              <w:jc w:val="left"/>
            </w:pPr>
            <w:r>
              <w:t xml:space="preserve">Plastics</w:t>
            </w:r>
          </w:p>
        </w:tc>
        <w:tc>
          <w:tcPr/>
          <w:p>
            <w:pPr>
              <w:pStyle w:val="Compact"/>
              <w:jc w:val="left"/>
            </w:pPr>
            <w:r>
              <w:t xml:space="preserve">Polymerization &amp; Molding</w:t>
            </w:r>
          </w:p>
        </w:tc>
        <w:tc>
          <w:tcPr/>
          <w:p>
            <w:pPr>
              <w:pStyle w:val="Compact"/>
              <w:jc w:val="left"/>
            </w:pPr>
            <w:r>
              <w:t xml:space="preserve">2.2</w:t>
            </w:r>
          </w:p>
        </w:tc>
        <w:tc>
          <w:tcPr/>
          <w:p>
            <w:pPr>
              <w:pStyle w:val="Compact"/>
              <w:jc w:val="left"/>
            </w:pPr>
            <w:r>
              <w:t xml:space="preserve">kg</w:t>
            </w:r>
          </w:p>
        </w:tc>
        <w:tc>
          <w:tcPr/>
          <w:p>
            <w:pPr>
              <w:pStyle w:val="Compact"/>
              <w:jc w:val="left"/>
            </w:pPr>
            <w:r>
              <w:t xml:space="preserve">[Specific Factor from vwysfeni]</w:t>
            </w:r>
          </w:p>
        </w:tc>
        <w:tc>
          <w:tcPr/>
          <w:p>
            <w:pPr>
              <w:pStyle w:val="Compact"/>
              <w:jc w:val="left"/>
            </w:pPr>
            <w:r>
              <w:t xml:space="preserve">[Specific Value from vwysfeni]</w:t>
            </w:r>
          </w:p>
        </w:tc>
      </w:tr>
      <w:tr>
        <w:tc>
          <w:tcPr/>
          <w:p>
            <w:pPr>
              <w:pStyle w:val="Compact"/>
              <w:jc w:val="left"/>
            </w:pPr>
            <w:r>
              <w:t xml:space="preserve">M003</w:t>
            </w:r>
          </w:p>
        </w:tc>
        <w:tc>
          <w:tcPr/>
          <w:p>
            <w:pPr>
              <w:pStyle w:val="Compact"/>
              <w:jc w:val="left"/>
            </w:pPr>
            <w:r>
              <w:t xml:space="preserve">Silicon Chip</w:t>
            </w:r>
          </w:p>
        </w:tc>
        <w:tc>
          <w:tcPr/>
          <w:p>
            <w:pPr>
              <w:pStyle w:val="Compact"/>
              <w:jc w:val="left"/>
            </w:pPr>
            <w:r>
              <w:t xml:space="preserve">Electronics</w:t>
            </w:r>
          </w:p>
        </w:tc>
        <w:tc>
          <w:tcPr/>
          <w:p>
            <w:pPr>
              <w:pStyle w:val="Compact"/>
              <w:jc w:val="left"/>
            </w:pPr>
            <w:r>
              <w:t xml:space="preserve">Semiconductor Mfg.</w:t>
            </w:r>
          </w:p>
        </w:tc>
        <w:tc>
          <w:tcPr/>
          <w:p>
            <w:pPr>
              <w:pStyle w:val="Compact"/>
              <w:jc w:val="left"/>
            </w:pPr>
            <w:r>
              <w:t xml:space="preserve">0.05</w:t>
            </w:r>
          </w:p>
        </w:tc>
        <w:tc>
          <w:tcPr/>
          <w:p>
            <w:pPr>
              <w:pStyle w:val="Compact"/>
              <w:jc w:val="left"/>
            </w:pPr>
            <w:r>
              <w:t xml:space="preserve">kg</w:t>
            </w:r>
          </w:p>
        </w:tc>
        <w:tc>
          <w:tcPr/>
          <w:p>
            <w:pPr>
              <w:pStyle w:val="Compact"/>
              <w:jc w:val="left"/>
            </w:pPr>
            <w:r>
              <w:t xml:space="preserve">[Specific Factor from vwysfeni]</w:t>
            </w:r>
          </w:p>
        </w:tc>
        <w:tc>
          <w:tcPr/>
          <w:p>
            <w:pPr>
              <w:pStyle w:val="Compact"/>
              <w:jc w:val="left"/>
            </w:pPr>
            <w:r>
              <w:t xml:space="preserve">[Specific Value from vwysfeni]</w:t>
            </w:r>
          </w:p>
        </w:tc>
      </w:tr>
      <w:tr>
        <w:tc>
          <w:tcPr/>
          <w:p>
            <w:pPr>
              <w:pStyle w:val="Compact"/>
              <w:jc w:val="left"/>
            </w:pPr>
            <w:r>
              <w:t xml:space="preserve">M004</w:t>
            </w:r>
          </w:p>
        </w:tc>
        <w:tc>
          <w:tcPr/>
          <w:p>
            <w:pPr>
              <w:pStyle w:val="Compact"/>
              <w:jc w:val="left"/>
            </w:pPr>
            <w:r>
              <w:t xml:space="preserve">Packaging Material</w:t>
            </w:r>
          </w:p>
        </w:tc>
        <w:tc>
          <w:tcPr/>
          <w:p>
            <w:pPr>
              <w:pStyle w:val="Compact"/>
              <w:jc w:val="left"/>
            </w:pPr>
            <w:r>
              <w:t xml:space="preserve">Paper/Cardboard</w:t>
            </w:r>
          </w:p>
        </w:tc>
        <w:tc>
          <w:tcPr/>
          <w:p>
            <w:pPr>
              <w:pStyle w:val="Compact"/>
              <w:jc w:val="left"/>
            </w:pPr>
            <w:r>
              <w:t xml:space="preserve">Pulp &amp; Converting</w:t>
            </w:r>
          </w:p>
        </w:tc>
        <w:tc>
          <w:tcPr/>
          <w:p>
            <w:pPr>
              <w:pStyle w:val="Compact"/>
              <w:jc w:val="left"/>
            </w:pPr>
            <w:r>
              <w:t xml:space="preserve">1.8</w:t>
            </w:r>
          </w:p>
        </w:tc>
        <w:tc>
          <w:tcPr/>
          <w:p>
            <w:pPr>
              <w:pStyle w:val="Compact"/>
              <w:jc w:val="left"/>
            </w:pPr>
            <w:r>
              <w:t xml:space="preserve">kg</w:t>
            </w:r>
          </w:p>
        </w:tc>
        <w:tc>
          <w:tcPr/>
          <w:p>
            <w:pPr>
              <w:pStyle w:val="Compact"/>
              <w:jc w:val="left"/>
            </w:pPr>
            <w:r>
              <w:t xml:space="preserve">[Specific Factor from vwysfeni]</w:t>
            </w:r>
          </w:p>
        </w:tc>
        <w:tc>
          <w:tcPr/>
          <w:p>
            <w:pPr>
              <w:pStyle w:val="Compact"/>
              <w:jc w:val="left"/>
            </w:pPr>
            <w:r>
              <w:t xml:space="preserve">[Specific Value from vwysfeni]</w:t>
            </w:r>
          </w:p>
        </w:tc>
      </w:tr>
    </w:tbl>
    <w:p>
      <w:pPr>
        <w:pStyle w:val="BodyText"/>
      </w:pPr>
      <w:r>
        <w:rPr>
          <w:iCs/>
          <w:i/>
        </w:rPr>
        <w:t xml:space="preserve">Note: The "Emission Factor" and "Total Carbon" columns above represent the specific values provided within the \'vwysfeni\' BOM data for direct use in calculations.</w:t>
      </w:r>
    </w:p>
    <w:bookmarkEnd w:id="23"/>
    <w:bookmarkStart w:id="24" w:name="energy-inputs-production-phase"/>
    <w:p>
      <w:pPr>
        <w:pStyle w:val="Heading3"/>
      </w:pPr>
      <w:r>
        <w:t xml:space="preserve">3.2. Energy Inputs (Production Phase)</w:t>
      </w:r>
    </w:p>
    <w:p>
      <w:pPr>
        <w:pStyle w:val="FirstParagraph"/>
      </w:pPr>
      <w:r>
        <w:t xml:space="preserve">Energy consumption during the manufacturing phase is a critical component of the PCF. The provided customization data is applied:</w:t>
      </w:r>
    </w:p>
    <w:p>
      <w:pPr>
        <w:numPr>
          <w:ilvl w:val="0"/>
          <w:numId w:val="1011"/>
        </w:numPr>
        <w:pStyle w:val="Compact"/>
      </w:pPr>
      <w:r>
        <w:rPr>
          <w:bCs/>
          <w:b/>
        </w:rPr>
        <w:t xml:space="preserve">Energy Intensity (kWh/unit):</w:t>
      </w:r>
      <w:r>
        <w:t xml:space="preserve"> </w:t>
      </w:r>
      <w:r>
        <w:t xml:space="preserve">jfdwdeqksg kWh/unit</w:t>
      </w:r>
    </w:p>
    <w:p>
      <w:pPr>
        <w:numPr>
          <w:ilvl w:val="0"/>
          <w:numId w:val="1011"/>
        </w:numPr>
        <w:pStyle w:val="Compact"/>
      </w:pPr>
      <w:r>
        <w:rPr>
          <w:bCs/>
          <w:b/>
        </w:rPr>
        <w:t xml:space="preserve">Renewable Energy Usage:</w:t>
      </w:r>
      <w:r>
        <w:t xml:space="preserve"> </w:t>
      </w:r>
      <w:r>
        <w:t xml:space="preserve">vzhkwfenju%</w:t>
      </w:r>
    </w:p>
    <w:p>
      <w:pPr>
        <w:pStyle w:val="FirstParagraph"/>
      </w:pPr>
      <w:r>
        <w:t xml:space="preserve">The total electricity consumed per unit of xdkvnrsmhl is jfdwdeqksg kWh. vzhkwfenju% of this consumption is sourced from renewable energy, which significantly reduces the associated Scope 2 emissions. The remaining (100 - vzhkwfenju)% is sourced from the regional grid mix in China.</w:t>
      </w:r>
    </w:p>
    <w:bookmarkEnd w:id="24"/>
    <w:bookmarkStart w:id="25" w:name="logistics-data-transportation"/>
    <w:p>
      <w:pPr>
        <w:pStyle w:val="Heading3"/>
      </w:pPr>
      <w:r>
        <w:t xml:space="preserve">3.3. Logistics Data (Transportation)</w:t>
      </w:r>
    </w:p>
    <w:p>
      <w:pPr>
        <w:pStyle w:val="FirstParagraph"/>
      </w:pPr>
      <w:r>
        <w:t xml:space="preserve">Transportation emissions are calculated based on the following specific parameters:</w:t>
      </w:r>
    </w:p>
    <w:p>
      <w:pPr>
        <w:numPr>
          <w:ilvl w:val="0"/>
          <w:numId w:val="1012"/>
        </w:numPr>
        <w:pStyle w:val="Compact"/>
      </w:pPr>
      <w:r>
        <w:rPr>
          <w:bCs/>
          <w:b/>
        </w:rPr>
        <w:t xml:space="preserve">Transport Mode (Upstream &amp; Downstream):</w:t>
      </w:r>
      <w:r>
        <w:t xml:space="preserve"> </w:t>
      </w:r>
      <w:r>
        <w:t xml:space="preserve">Select Mode</w:t>
      </w:r>
    </w:p>
    <w:p>
      <w:pPr>
        <w:numPr>
          <w:ilvl w:val="0"/>
          <w:numId w:val="1012"/>
        </w:numPr>
        <w:pStyle w:val="Compact"/>
      </w:pPr>
      <w:r>
        <w:rPr>
          <w:bCs/>
          <w:b/>
        </w:rPr>
        <w:t xml:space="preserve">Transport Distance (Average per component/product):</w:t>
      </w:r>
      <w:r>
        <w:t xml:space="preserve"> </w:t>
      </w:r>
      <w:r>
        <w:t xml:space="preserve">oydnlimsej km</w:t>
      </w:r>
    </w:p>
    <w:p>
      <w:pPr>
        <w:numPr>
          <w:ilvl w:val="0"/>
          <w:numId w:val="1012"/>
        </w:numPr>
        <w:pStyle w:val="Compact"/>
      </w:pPr>
      <w:r>
        <w:rPr>
          <w:bCs/>
          <w:b/>
        </w:rPr>
        <w:t xml:space="preserve">Last-Mile Delivery Channel:</w:t>
      </w:r>
      <w:r>
        <w:t xml:space="preserve"> </w:t>
      </w:r>
      <w:r>
        <w:t xml:space="preserve">Delivery Type</w:t>
      </w:r>
    </w:p>
    <w:p>
      <w:pPr>
        <w:pStyle w:val="FirstParagraph"/>
      </w:pPr>
      <w:r>
        <w:t xml:space="preserve">Emission factors for the \'Select Mode\' transport (e.g., ocean freight, rail, road freight, air cargo) are applied over the distance \'oydnlimsej\' km. For last-mile delivery, specific emission factors pertinent to \'Delivery Type\' (e.g., parcel delivery, courier, dedicated fleet) are used. Emissions from upstream transportation of raw materials (Europe Focused to China) and downstream distribution to market are covered under Scope 3, Category 4 and Category 9 respectively.</w:t>
      </w:r>
    </w:p>
    <w:bookmarkEnd w:id="25"/>
    <w:bookmarkStart w:id="26" w:name="use-phase-data"/>
    <w:p>
      <w:pPr>
        <w:pStyle w:val="Heading3"/>
      </w:pPr>
      <w:r>
        <w:t xml:space="preserve">3.4. Use Phase Data</w:t>
      </w:r>
    </w:p>
    <w:p>
      <w:pPr>
        <w:pStyle w:val="FirstParagraph"/>
      </w:pPr>
      <w:r>
        <w:t xml:space="preserve">The product\'s impact during its active use is calculated using:</w:t>
      </w:r>
    </w:p>
    <w:p>
      <w:pPr>
        <w:numPr>
          <w:ilvl w:val="0"/>
          <w:numId w:val="1013"/>
        </w:numPr>
        <w:pStyle w:val="Compact"/>
      </w:pPr>
      <w:r>
        <w:rPr>
          <w:bCs/>
          <w:b/>
        </w:rPr>
        <w:t xml:space="preserve">Product Lifespan:</w:t>
      </w:r>
      <w:r>
        <w:t xml:space="preserve"> </w:t>
      </w:r>
      <w:r>
        <w:t xml:space="preserve">efyrzzxqgn units of time (e.g., years, cycles)</w:t>
      </w:r>
    </w:p>
    <w:p>
      <w:pPr>
        <w:numPr>
          <w:ilvl w:val="0"/>
          <w:numId w:val="1013"/>
        </w:numPr>
        <w:pStyle w:val="Compact"/>
      </w:pPr>
      <w:r>
        <w:rPr>
          <w:bCs/>
          <w:b/>
        </w:rPr>
        <w:t xml:space="preserve">Energy Consumption in Use:</w:t>
      </w:r>
      <w:r>
        <w:t xml:space="preserve"> </w:t>
      </w:r>
      <w:r>
        <w:t xml:space="preserve">uwuhjldsqx (e.g., kWh/year, kWh/cycle)</w:t>
      </w:r>
    </w:p>
    <w:p>
      <w:pPr>
        <w:pStyle w:val="FirstParagraph"/>
      </w:pPr>
      <w:r>
        <w:t xml:space="preserve">Total energy consumption over the product\'s lifespan (efyrzzxqgn) multiplied by the energy consumed in use (uwuhjldsqx) and the relevant electricity emission factor determines the Scope 3, Category 11 emissions.</w:t>
      </w:r>
    </w:p>
    <w:bookmarkEnd w:id="26"/>
    <w:bookmarkStart w:id="27" w:name="end-of-life-eol-scenarios"/>
    <w:p>
      <w:pPr>
        <w:pStyle w:val="Heading3"/>
      </w:pPr>
      <w:r>
        <w:t xml:space="preserve">3.5. End-of-Life (EoL) Scenarios</w:t>
      </w:r>
    </w:p>
    <w:p>
      <w:pPr>
        <w:pStyle w:val="FirstParagraph"/>
      </w:pPr>
      <w:r>
        <w:t xml:space="preserve">EoL impacts are assessed considering circularity aspects:</w:t>
      </w:r>
    </w:p>
    <w:p>
      <w:pPr>
        <w:numPr>
          <w:ilvl w:val="0"/>
          <w:numId w:val="1014"/>
        </w:numPr>
        <w:pStyle w:val="Compact"/>
      </w:pPr>
      <w:r>
        <w:rPr>
          <w:bCs/>
          <w:b/>
        </w:rPr>
        <w:t xml:space="preserve">Recyclability Percentage:</w:t>
      </w:r>
      <w:r>
        <w:t xml:space="preserve"> </w:t>
      </w:r>
      <w:r>
        <w:t xml:space="preserve">jpmiqwzuhg%</w:t>
      </w:r>
    </w:p>
    <w:p>
      <w:pPr>
        <w:numPr>
          <w:ilvl w:val="0"/>
          <w:numId w:val="1014"/>
        </w:numPr>
        <w:pStyle w:val="Compact"/>
      </w:pPr>
      <w:r>
        <w:rPr>
          <w:bCs/>
          <w:b/>
        </w:rPr>
        <w:t xml:space="preserve">Circular/Take-back Programs:</w:t>
      </w:r>
      <w:r>
        <w:t xml:space="preserve"> </w:t>
      </w:r>
      <w:r>
        <w:t xml:space="preserve">nhnuoftngp</w:t>
      </w:r>
    </w:p>
    <w:p>
      <w:pPr>
        <w:pStyle w:val="FirstParagraph"/>
      </w:pPr>
      <w:r>
        <w:t xml:space="preserve">A jpmiqwzuhg% recyclability rate for the product\'s materials translates into avoided emissions from virgin material production. The existence of \'nhnuoftngp\' circular/take-back programs further enhances this by potentially diverting products from landfills and extending material utility, leading to additional avoided emissions or reduced disposal burdens (Scope 3, Category 12).</w:t>
      </w:r>
    </w:p>
    <w:p>
      <w:r>
        <w:pict>
          <v:rect style="width:0;height:1.5pt" o:hralign="center" o:hrstd="t" o:hr="t"/>
        </w:pict>
      </w:r>
    </w:p>
    <w:bookmarkEnd w:id="27"/>
    <w:bookmarkEnd w:id="28"/>
    <w:bookmarkStart w:id="33" w:name="emission-calculation-and-categorization"/>
    <w:p>
      <w:pPr>
        <w:pStyle w:val="Heading2"/>
      </w:pPr>
      <w:r>
        <w:t xml:space="preserve">4. Emission Calculation and Categorization</w:t>
      </w:r>
    </w:p>
    <w:p>
      <w:pPr>
        <w:pStyle w:val="FirstParagraph"/>
      </w:pPr>
      <w:r>
        <w:t xml:space="preserve">Emissions are calculated for each stage of the product lifecycle and rigorously categorized according to the GHG Protocol\'s Scope 1, 2, and 3 definitions. The 2026 LSR Standard update is applied where relevant for land-related emissions and removals, and a minimum of 95% Scope 3 coverage is targeted.</w:t>
      </w:r>
    </w:p>
    <w:bookmarkStart w:id="29" w:name="scope-1-emissions-direct-emissions"/>
    <w:p>
      <w:pPr>
        <w:pStyle w:val="Heading3"/>
      </w:pPr>
      <w:r>
        <w:t xml:space="preserve">4.1. Scope 1 Emissions (Direct Emissions)</w:t>
      </w:r>
    </w:p>
    <w:p>
      <w:pPr>
        <w:pStyle w:val="FirstParagraph"/>
      </w:pPr>
      <w:r>
        <w:t xml:space="preserve">These include direct GHG emissions from sources owned or controlled by knuyedrdzz during the manufacturing of xdkvnrsmhl. This primarily covers on-site fuel combustion for factory heating, vehicle fleets (if owned and controlled for internal transfers within the factory gate), and any process-related emissions.</w:t>
      </w:r>
    </w:p>
    <w:p>
      <w:pPr>
        <w:pStyle w:val="BodyText"/>
      </w:pPr>
      <w:r>
        <w:rPr>
          <w:bCs/>
          <w:b/>
        </w:rPr>
        <w:t xml:space="preserve">Calculation Example (Conceptual):</w:t>
      </w:r>
    </w:p>
    <w:p>
      <w:pPr>
        <w:pStyle w:val="BodyText"/>
      </w:pPr>
      <w:r>
        <w:rPr>
          <w:rStyle w:val="VerbatimChar"/>
        </w:rPr>
        <w:t xml:space="preserve">[Fuel Consumption (liters)] * [Emission Factor (kg CO2e/liter)] = Scope 1 Emissions</w:t>
      </w:r>
    </w:p>
    <w:p>
      <w:pPr>
        <w:pStyle w:val="BodyText"/>
      </w:pPr>
      <w:r>
        <w:rPr>
          <w:rStyle w:val="VerbatimChar"/>
        </w:rPr>
        <w:t xml:space="preserve">[Process Activity (units)] * [Process Emission Factor (kg CO2e/unit)] = Scope 1 Emissions</w:t>
      </w:r>
    </w:p>
    <w:bookmarkEnd w:id="29"/>
    <w:bookmarkStart w:id="30" w:name="X1bd5ed5ba51603fe7fc5fd46de6dc3081dfffbb"/>
    <w:p>
      <w:pPr>
        <w:pStyle w:val="Heading3"/>
      </w:pPr>
      <w:r>
        <w:t xml:space="preserve">4.2. Scope 2 Emissions (Indirect Emissions from Purchased Energy)</w:t>
      </w:r>
    </w:p>
    <w:p>
      <w:pPr>
        <w:pStyle w:val="FirstParagraph"/>
      </w:pPr>
      <w:r>
        <w:t xml:space="preserve">These are indirect GHG emissions from the generation of purchased electricity (and potentially heat or steam) consumed by knuyedrdzz\'s manufacturing facilities. The \'vzhkwfenju\' renewable energy usage percentage directly influences this scope.</w:t>
      </w:r>
    </w:p>
    <w:p>
      <w:pPr>
        <w:pStyle w:val="BodyText"/>
      </w:pPr>
      <w:r>
        <w:rPr>
          <w:bCs/>
          <w:b/>
        </w:rPr>
        <w:t xml:space="preserve">Calculation Example (Conceptual):</w:t>
      </w:r>
    </w:p>
    <w:p>
      <w:pPr>
        <w:pStyle w:val="BodyText"/>
      </w:pPr>
      <w:r>
        <w:rPr>
          <w:rStyle w:val="VerbatimChar"/>
        </w:rPr>
        <w:t xml:space="preserve">[Total Electricity Consumption (kWh/unit)] * [(1 - vzhkwfenju/100)] * [Grid Emission Factor (kg CO2e/kWh)] = Scope 2 Emissions</w:t>
      </w:r>
    </w:p>
    <w:bookmarkEnd w:id="30"/>
    <w:bookmarkStart w:id="31" w:name="Xfe1ff291757346395a08be2339cab5991965a12"/>
    <w:p>
      <w:pPr>
        <w:pStyle w:val="Heading3"/>
      </w:pPr>
      <w:r>
        <w:t xml:space="preserve">4.3. Scope 3 Emissions (Other Indirect Value Chain Emissions)</w:t>
      </w:r>
    </w:p>
    <w:p>
      <w:pPr>
        <w:pStyle w:val="FirstParagraph"/>
      </w:pPr>
      <w:r>
        <w:t xml:space="preserve">Scope 3 emissions are all other indirect emissions occurring in knuyedrdzz\'s value chain, both upstream and downstream, not covered in Scope 1 or 2. This report ensures at least 95% coverage across the 15 categories, emphasizing materiality for xdkvnrsmhl. Key categories addressed include:</w:t>
      </w:r>
    </w:p>
    <w:p>
      <w:pPr>
        <w:numPr>
          <w:ilvl w:val="0"/>
          <w:numId w:val="1015"/>
        </w:numPr>
        <w:pStyle w:val="Compact"/>
      </w:pPr>
      <w:r>
        <w:rPr>
          <w:bCs/>
          <w:b/>
        </w:rPr>
        <w:t xml:space="preserve">Category 1: Purchased Goods &amp; Services (Raw Material Acquisition &amp; Production):</w:t>
      </w:r>
      <w:r>
        <w:t xml:space="preserve"> </w:t>
      </w:r>
      <w:r>
        <w:t xml:space="preserve">Emissions from the extraction, production, and transportation of \'vwysfeni\' materials. The specific emission factors for each material from \'vwysfeni\' are directly used here.</w:t>
      </w:r>
    </w:p>
    <w:p>
      <w:pPr>
        <w:numPr>
          <w:ilvl w:val="0"/>
          <w:numId w:val="1015"/>
        </w:numPr>
        <w:pStyle w:val="Compact"/>
      </w:pPr>
      <w:r>
        <w:rPr>
          <w:bCs/>
          <w:b/>
        </w:rPr>
        <w:t xml:space="preserve">Category 3: Fuel- and Energy-Related Activities (not included in Scope 1 or 2):</w:t>
      </w:r>
      <w:r>
        <w:t xml:space="preserve"> </w:t>
      </w:r>
      <w:r>
        <w:t xml:space="preserve">Emissions from the upstream activities of purchased fuels and electricity, such as transmission and distribution losses.</w:t>
      </w:r>
    </w:p>
    <w:p>
      <w:pPr>
        <w:numPr>
          <w:ilvl w:val="0"/>
          <w:numId w:val="1015"/>
        </w:numPr>
        <w:pStyle w:val="Compact"/>
      </w:pPr>
      <w:r>
        <w:rPr>
          <w:bCs/>
          <w:b/>
        </w:rPr>
        <w:t xml:space="preserve">Category 4: Upstream Transportation &amp; Distribution:</w:t>
      </w:r>
      <w:r>
        <w:t xml:space="preserve"> </w:t>
      </w:r>
      <w:r>
        <w:t xml:space="preserve">Emissions from transporting \'vwysfeni\' materials and components from European suppliers to the manufacturing facility in China, based on \'Select Mode\' and \'oydnlimsej\' km.</w:t>
      </w:r>
    </w:p>
    <w:p>
      <w:pPr>
        <w:numPr>
          <w:ilvl w:val="0"/>
          <w:numId w:val="1015"/>
        </w:numPr>
        <w:pStyle w:val="Compact"/>
      </w:pPr>
      <w:r>
        <w:rPr>
          <w:bCs/>
          <w:b/>
        </w:rPr>
        <w:t xml:space="preserve">Category 9: Downstream Transportation &amp; Distribution:</w:t>
      </w:r>
      <w:r>
        <w:t xml:space="preserve"> </w:t>
      </w:r>
      <w:r>
        <w:t xml:space="preserve">Emissions from transporting the finished xdkvnrsmhl product from the factory gate to end-consumers, including \'Last-Mile Delivery Channel: Delivery Type\' over relevant distances.</w:t>
      </w:r>
    </w:p>
    <w:p>
      <w:pPr>
        <w:numPr>
          <w:ilvl w:val="0"/>
          <w:numId w:val="1015"/>
        </w:numPr>
        <w:pStyle w:val="Compact"/>
      </w:pPr>
      <w:r>
        <w:rPr>
          <w:bCs/>
          <w:b/>
        </w:rPr>
        <w:t xml:space="preserve">Category 11: Use of Sold Products:</w:t>
      </w:r>
      <w:r>
        <w:t xml:space="preserve"> </w:t>
      </w:r>
      <w:r>
        <w:t xml:space="preserve">Emissions resulting from the use of xdkvnrsmhl by consumers over its \'efyrzzxqgn\' lifespan, based on \'uwuhjldsqx\' energy consumption.</w:t>
      </w:r>
    </w:p>
    <w:p>
      <w:pPr>
        <w:numPr>
          <w:ilvl w:val="0"/>
          <w:numId w:val="1015"/>
        </w:numPr>
        <w:pStyle w:val="Compact"/>
      </w:pPr>
      <w:r>
        <w:rPr>
          <w:bCs/>
          <w:b/>
        </w:rPr>
        <w:t xml:space="preserve">Category 12: End-of-Life Treatment of Sold Products:</w:t>
      </w:r>
      <w:r>
        <w:t xml:space="preserve"> </w:t>
      </w:r>
      <w:r>
        <w:t xml:space="preserve">Emissions from the disposal and/or benefits from recycling (\'jpmiqwzuhg\'% recyclability) and \'nhnuoftngp\' circular programs.</w:t>
      </w:r>
    </w:p>
    <w:p>
      <w:pPr>
        <w:pStyle w:val="FirstParagraph"/>
      </w:pPr>
      <w:r>
        <w:rPr>
          <w:bCs/>
          <w:b/>
        </w:rPr>
        <w:t xml:space="preserve">Calculation Example (Conceptual for Raw Materials):</w:t>
      </w:r>
    </w:p>
    <w:p>
      <w:pPr>
        <w:pStyle w:val="BodyText"/>
      </w:pPr>
      <w:r>
        <w:rPr>
          <w:rStyle w:val="VerbatimChar"/>
        </w:rPr>
        <w:t xml:space="preserve">[Qty of Material A (kg)] * [Emission Factor Material A (kg CO2e/kg from vwysfeni)] = Scope 3 Emissions (Category 1)</w:t>
      </w:r>
    </w:p>
    <w:p>
      <w:pPr>
        <w:pStyle w:val="BodyText"/>
      </w:pPr>
      <w:r>
        <w:rPr>
          <w:bCs/>
          <w:b/>
        </w:rPr>
        <w:t xml:space="preserve">Calculation Example (Conceptual for Transportation):</w:t>
      </w:r>
    </w:p>
    <w:p>
      <w:pPr>
        <w:pStyle w:val="BodyText"/>
      </w:pPr>
      <w:r>
        <w:rPr>
          <w:rStyle w:val="VerbatimChar"/>
        </w:rPr>
        <w:t xml:space="preserve">[Weight of Goods (ton)] * [Distance (km)] * [Mode-Specific Emission Factor (kg CO2e/ton-km)] = Scope 3 Emissions (Category 4/9)</w:t>
      </w:r>
    </w:p>
    <w:bookmarkEnd w:id="31"/>
    <w:bookmarkStart w:id="32" w:name="application-of-2026-lsr-standard"/>
    <w:p>
      <w:pPr>
        <w:pStyle w:val="Heading3"/>
      </w:pPr>
      <w:r>
        <w:t xml:space="preserve">4.4. Application of 2026 LSR Standard</w:t>
      </w:r>
    </w:p>
    <w:p>
      <w:pPr>
        <w:pStyle w:val="FirstParagraph"/>
      </w:pPr>
      <w:r>
        <w:t xml:space="preserve">The Land Sector and Removals (LSR) Standard is applied to account for emissions and removals from land-based activities, particularly relevant for raw materials derived from agriculture or forestry (e.g., biomass-derived plastics, paper products, specific metals whose extraction impacts land use). This ensures that impacts related to land-use change, biogenic carbon, and potential carbon removals within the value chain are appropriately quantified and reported, providing a more comprehensive view of the product\'s environmental footprint.</w:t>
      </w:r>
    </w:p>
    <w:p>
      <w:pPr>
        <w:pStyle w:val="BodyText"/>
      </w:pPr>
      <w:r>
        <w:t xml:space="preserve">The standard clarifies how land management and land use change, CO₂ removals with storage in land and geologic carbon pools, and emissions from biogenic products are accounted for in GHG inventories.</w:t>
      </w:r>
    </w:p>
    <w:p>
      <w:r>
        <w:pict>
          <v:rect style="width:0;height:1.5pt" o:hralign="center" o:hrstd="t" o:hr="t"/>
        </w:pict>
      </w:r>
    </w:p>
    <w:bookmarkEnd w:id="32"/>
    <w:bookmarkEnd w:id="33"/>
    <w:bookmarkStart w:id="34" w:name="key-findings-and-hotspots-conceptual"/>
    <w:p>
      <w:pPr>
        <w:pStyle w:val="Heading2"/>
      </w:pPr>
      <w:r>
        <w:t xml:space="preserve">5. Key Findings and Hotspots (Conceptual)</w:t>
      </w:r>
    </w:p>
    <w:p>
      <w:pPr>
        <w:pStyle w:val="FirstParagraph"/>
      </w:pPr>
      <w:r>
        <w:t xml:space="preserve">Based on the detailed data analysis (once specific numerical values for the parameters are integrated), the report would identify:</w:t>
      </w:r>
    </w:p>
    <w:p>
      <w:pPr>
        <w:numPr>
          <w:ilvl w:val="0"/>
          <w:numId w:val="1016"/>
        </w:numPr>
        <w:pStyle w:val="Compact"/>
      </w:pPr>
      <w:r>
        <w:rPr>
          <w:bCs/>
          <w:b/>
        </w:rPr>
        <w:t xml:space="preserve">Primary Emission Hotspots:</w:t>
      </w:r>
      <w:r>
        <w:t xml:space="preserve"> </w:t>
      </w:r>
      <w:r>
        <w:t xml:space="preserve">Likely to be in material acquisition (due to \'vwysfeni\' detailed BOM), manufacturing energy (especially if \'vzhkwfenju\' renewable energy usage is low and \'jfdwdeqksg\' is high), and the use phase (given \'uwuhjldsqx\' and \'efyrzzxqgn\').</w:t>
      </w:r>
    </w:p>
    <w:p>
      <w:pPr>
        <w:numPr>
          <w:ilvl w:val="0"/>
          <w:numId w:val="1016"/>
        </w:numPr>
        <w:pStyle w:val="Compact"/>
      </w:pPr>
      <w:r>
        <w:rPr>
          <w:bCs/>
          <w:b/>
        </w:rPr>
        <w:t xml:space="preserve">Supply Chain Focus:</w:t>
      </w:r>
      <w:r>
        <w:t xml:space="preserve"> </w:t>
      </w:r>
      <w:r>
        <w:t xml:space="preserve">Significant emissions associated with the "Europe Focused" supply chain and "oydnlimsej" transport distance for \'Select Mode\'.</w:t>
      </w:r>
    </w:p>
    <w:p>
      <w:pPr>
        <w:numPr>
          <w:ilvl w:val="0"/>
          <w:numId w:val="1016"/>
        </w:numPr>
        <w:pStyle w:val="Compact"/>
      </w:pPr>
      <w:r>
        <w:rPr>
          <w:bCs/>
          <w:b/>
        </w:rPr>
        <w:t xml:space="preserve">End-of-Life Opportunities:</w:t>
      </w:r>
      <w:r>
        <w:t xml:space="preserve"> </w:t>
      </w:r>
      <w:r>
        <w:t xml:space="preserve">The \'jpmiqwzuhg\'% recyclability and \'nhnuoftngp\' circular programs offer considerable potential for emission reductions through circularity.</w:t>
      </w:r>
    </w:p>
    <w:p>
      <w:pPr>
        <w:pStyle w:val="FirstParagraph"/>
      </w:pPr>
      <w:r>
        <w:t xml:space="preserve">Further analysis will provide specific CO2e values for each lifecycle stage and scope, along with recommendations for reduction strategies.</w:t>
      </w:r>
    </w:p>
    <w:p>
      <w:r>
        <w:pict>
          <v:rect style="width:0;height:1.5pt" o:hralign="center" o:hrstd="t" o:hr="t"/>
        </w:pict>
      </w:r>
    </w:p>
    <w:bookmarkEnd w:id="34"/>
    <w:bookmarkStart w:id="35" w:name="conclusion"/>
    <w:p>
      <w:pPr>
        <w:pStyle w:val="Heading2"/>
      </w:pPr>
      <w:r>
        <w:t xml:space="preserve">6. Conclusion</w:t>
      </w:r>
    </w:p>
    <w:p>
      <w:pPr>
        <w:pStyle w:val="FirstParagraph"/>
      </w:pPr>
      <w:r>
        <w:t xml:space="preserve">This Product Carbon Footprint analysis for xdkvnrsmhl by knuyedrdzz provides a robust framework for understanding its environmental impact, adhering to the stringent requirements of the GHG Protocol and the 2026 LSR Standard. By utilizing specific Bill of Materials, energy, transport, use phase, and end-of-life data, knuyedrdzz can pinpoint critical emission sources and develop targeted strategies for decarbonization across its value chain. Continuous monitoring and engagement with suppliers and consumers will be essential for ongoing improvement and transparency.</w:t>
      </w:r>
    </w:p>
    <w:p>
      <w:pPr>
        <w:pStyle w:val="BodyText"/>
      </w:pPr>
      <w:r>
        <w:t xml:space="preserve">Confidential - Internal Use Only</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Report for xdkvnrsmhl</dc:title>
  <dc:creator/>
  <dc:description>Product Carbon Footprint (PCF) Analysis Report for xdkvnrsmhl, developed by dhorrvwngh for knuyedrdzz, adhering to GHG Protocol standards and 2026 LSR updates.</dc:description>
  <dc:language>en</dc:language>
  <cp:keywords/>
  <dcterms:created xsi:type="dcterms:W3CDTF">2026-07-15T07:29:48Z</dcterms:created>
  <dcterms:modified xsi:type="dcterms:W3CDTF">2026-07-15T07:29:48Z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