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wxdyxokinq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wxdyxokinq</w:t>
      </w:r>
    </w:p>
    <w:p>
      <w:pPr>
        <w:pStyle w:val="BodyText"/>
      </w:pPr>
      <w:r>
        <w:t xml:space="preserve">Company: dpykuemres</w:t>
      </w:r>
    </w:p>
    <w:p>
      <w:pPr>
        <w:pStyle w:val="BodyText"/>
      </w:pPr>
      <w:r>
        <w:t xml:space="preserve">Senior Sustainability Consultant: shgtgdlejx</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The accuracy of the calculations depends on the quality and completeness of the provided input parameters and assumed emission factors.</w:t>
      </w:r>
    </w:p>
    <w:bookmarkEnd w:id="20"/>
    <w:bookmarkStart w:id="51"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wxdyxokinq</w:t>
      </w:r>
      <w:r>
        <w:t xml:space="preserve">, manufactured by</w:t>
      </w:r>
      <w:r>
        <w:t xml:space="preserve"> </w:t>
      </w:r>
      <w:r>
        <w:rPr>
          <w:bCs/>
          <w:b/>
        </w:rPr>
        <w:t xml:space="preserve">dpykuemres</w:t>
      </w:r>
      <w:r>
        <w:t xml:space="preserve">. The analysis was performed by Senior Sustainability Consultant</w:t>
      </w:r>
      <w:r>
        <w:t xml:space="preserve"> </w:t>
      </w:r>
      <w:r>
        <w:rPr>
          <w:bCs/>
          <w:b/>
        </w:rPr>
        <w:t xml:space="preserve">shgtgdlejx</w:t>
      </w:r>
      <w:r>
        <w:t xml:space="preserve">, adhering to the Greenhouse Gas Protocol (GHG Protocol) standards. The study covers the lifecycle from raw material extraction to the point of sale (factory_gate) and extends to include the use phase and end-of-life scenarios, providing a comprehensive "cradle-to-grave" perspective. Key findings identify primary emission hotspots across the product\'s lifecycle, with significant contributions from material production and the use phase. This analysis incorporates the latest 2026 GHG Protocol requirements, including the Land Sector and Removals (LSR) Standard and the 95% Scope 3 coverage rule.</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The Product Carbon Footprint (PCF) for</w:t>
      </w:r>
      <w:r>
        <w:t xml:space="preserve"> </w:t>
      </w:r>
      <w:r>
        <w:rPr>
          <w:bCs/>
          <w:b/>
        </w:rPr>
        <w:t xml:space="preserve">wxdyxokinq</w:t>
      </w:r>
      <w:r>
        <w:t xml:space="preserve"> </w:t>
      </w:r>
      <w:r>
        <w:t xml:space="preserve">quantifies the total greenhouse gas (GHG) emissions associated with its lifecycle, expressed in carbon dioxide equivalents (CO2e). This assessment aims to identify emission hotspots, support sustainability strategy development, and comply with evolving reporting standards.</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wxdyxokinq</w:t>
      </w:r>
      <w:r>
        <w:t xml:space="preserve">. This unit serves as the reference basis for all emission calculations.</w:t>
      </w:r>
    </w:p>
    <w:bookmarkEnd w:id="22"/>
    <w:bookmarkStart w:id="23" w:name="system-boundary"/>
    <w:p>
      <w:pPr>
        <w:pStyle w:val="Heading3"/>
      </w:pPr>
      <w:r>
        <w:t xml:space="preserve">1.2. System Boundary</w:t>
      </w:r>
    </w:p>
    <w:p>
      <w:pPr>
        <w:pStyle w:val="FirstParagraph"/>
      </w:pPr>
      <w:r>
        <w:t xml:space="preserve">The system boundary for this analysis is "factory_gate" for the primary production, expanded to a "cradle-to-grave" approach to encompass the use phase and end-of-life treatment. This includes:</w:t>
      </w:r>
    </w:p>
    <w:p>
      <w:pPr>
        <w:numPr>
          <w:ilvl w:val="0"/>
          <w:numId w:val="1001"/>
        </w:numPr>
        <w:pStyle w:val="Compact"/>
      </w:pPr>
      <w:r>
        <w:t xml:space="preserve">Raw material acquisition and pre-processing</w:t>
      </w:r>
    </w:p>
    <w:p>
      <w:pPr>
        <w:numPr>
          <w:ilvl w:val="0"/>
          <w:numId w:val="1001"/>
        </w:numPr>
        <w:pStyle w:val="Compact"/>
      </w:pPr>
      <w:r>
        <w:t xml:space="preserve">Transportation of materials to the manufacturing facility</w:t>
      </w:r>
    </w:p>
    <w:p>
      <w:pPr>
        <w:numPr>
          <w:ilvl w:val="0"/>
          <w:numId w:val="1001"/>
        </w:numPr>
        <w:pStyle w:val="Compact"/>
      </w:pPr>
      <w:r>
        <w:t xml:space="preserve">Manufacturing processes at the facility</w:t>
      </w:r>
    </w:p>
    <w:p>
      <w:pPr>
        <w:numPr>
          <w:ilvl w:val="0"/>
          <w:numId w:val="1001"/>
        </w:numPr>
        <w:pStyle w:val="Compact"/>
      </w:pPr>
      <w:r>
        <w:t xml:space="preserve">Distribution of the product to the customer</w:t>
      </w:r>
    </w:p>
    <w:p>
      <w:pPr>
        <w:numPr>
          <w:ilvl w:val="0"/>
          <w:numId w:val="1001"/>
        </w:numPr>
        <w:pStyle w:val="Compact"/>
      </w:pPr>
      <w:r>
        <w:t xml:space="preserve">Product use phase</w:t>
      </w:r>
    </w:p>
    <w:p>
      <w:pPr>
        <w:numPr>
          <w:ilvl w:val="0"/>
          <w:numId w:val="1001"/>
        </w:numPr>
        <w:pStyle w:val="Compact"/>
      </w:pPr>
      <w:r>
        <w:t xml:space="preserve">End-of-life treatment (recycling, disposal)</w:t>
      </w:r>
    </w:p>
    <w:bookmarkEnd w:id="23"/>
    <w:bookmarkStart w:id="24" w:name="geographic-scope"/>
    <w:p>
      <w:pPr>
        <w:pStyle w:val="Heading3"/>
      </w:pPr>
      <w:r>
        <w:t xml:space="preserve">1.3. Geographic Scope</w:t>
      </w:r>
    </w:p>
    <w:p>
      <w:pPr>
        <w:pStyle w:val="FirstParagraph"/>
      </w:pPr>
      <w:r>
        <w:t xml:space="preserve">The final production country for</w:t>
      </w:r>
      <w:r>
        <w:t xml:space="preserve"> </w:t>
      </w:r>
      <w:r>
        <w:rPr>
          <w:bCs/>
          <w:b/>
        </w:rPr>
        <w:t xml:space="preserve">wxdyxokinq</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w:t>
      </w:r>
      <w:r>
        <w:t xml:space="preserve">for inbound materials and outbound distribution. Emissions factors are selected to reflect these geographical contexts where possible.</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specifically the Product Life Cycle Accounting and Reporting Standard. Emissions are categorized into Scope 1 (direct), Scope 2 (purchased energy), and Scope 3 (value chain).</w:t>
      </w:r>
      <w:r>
        <w:t xml:space="preserve"> </w:t>
      </w:r>
      <w:r>
        <w:t xml:space="preserve">The analysis also applies the principles of the</w:t>
      </w:r>
      <w:r>
        <w:t xml:space="preserve"> </w:t>
      </w:r>
      <w:r>
        <w:rPr>
          <w:bCs/>
          <w:b/>
        </w:rPr>
        <w:t xml:space="preserve">2026 Land Sector and Removals (LSR) Standard</w:t>
      </w:r>
      <w:r>
        <w:t xml:space="preserve"> </w:t>
      </w:r>
      <w:r>
        <w:t xml:space="preserve">for land use and carbon removals relevant to agricultural or biogenic raw materials where applicable, and ensures</w:t>
      </w:r>
      <w:r>
        <w:t xml:space="preserve"> </w:t>
      </w:r>
      <w:r>
        <w:rPr>
          <w:bCs/>
          <w:b/>
        </w:rPr>
        <w:t xml:space="preserve">at least 95% coverage for Scope 3 reporting</w:t>
      </w:r>
      <w:r>
        <w:t xml:space="preserve">, aligning with anticipated 2026 requirements.</w:t>
      </w:r>
    </w:p>
    <w:p>
      <w:r>
        <w:pict>
          <v:rect style="width:0;height:1.5pt" o:hralign="center" o:hrstd="t" o:hr="t"/>
        </w:pict>
      </w:r>
    </w:p>
    <w:bookmarkEnd w:id="25"/>
    <w:bookmarkEnd w:id="26"/>
    <w:bookmarkStart w:id="29" w:name="methodology-followed"/>
    <w:p>
      <w:pPr>
        <w:pStyle w:val="Heading2"/>
      </w:pPr>
      <w:r>
        <w:t xml:space="preserve">2. Methodology Followed</w:t>
      </w:r>
    </w:p>
    <w:p>
      <w:pPr>
        <w:pStyle w:val="FirstParagraph"/>
      </w:pPr>
      <w:r>
        <w:t xml:space="preserve">The assessment follows a five-step methodology as prescribed by leading PCF best practices:</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 (LCI Inventory Stages):</w:t>
      </w:r>
      <w:r>
        <w:t xml:space="preserve"> </w:t>
      </w:r>
      <w:r>
        <w:t xml:space="preserve">Identify all relevant processes and stages throughout the product\'s life.</w:t>
      </w:r>
    </w:p>
    <w:p>
      <w:pPr>
        <w:numPr>
          <w:ilvl w:val="0"/>
          <w:numId w:val="1002"/>
        </w:numPr>
        <w:pStyle w:val="Compact"/>
      </w:pPr>
      <w:r>
        <w:rPr>
          <w:bCs/>
          <w:b/>
        </w:rPr>
        <w:t xml:space="preserve">Collect Data (Primary/Secondary Data Points):</w:t>
      </w:r>
      <w:r>
        <w:t xml:space="preserve"> </w:t>
      </w:r>
      <w:r>
        <w:t xml:space="preserve">Gather activity data and emission factors for each lifecycle stage.</w:t>
      </w:r>
    </w:p>
    <w:p>
      <w:pPr>
        <w:numPr>
          <w:ilvl w:val="0"/>
          <w:numId w:val="1002"/>
        </w:numPr>
        <w:pStyle w:val="Compact"/>
      </w:pPr>
      <w:r>
        <w:rPr>
          <w:bCs/>
          <w:b/>
        </w:rPr>
        <w:t xml:space="preserve">Calculate Emissions (Activity * Emission Factor = CO2e):</w:t>
      </w:r>
      <w:r>
        <w:t xml:space="preserve"> </w:t>
      </w:r>
      <w:r>
        <w:t xml:space="preserve">Quantify GHG emissions for each stage and aggregate them by scope.</w:t>
      </w:r>
    </w:p>
    <w:p>
      <w:pPr>
        <w:numPr>
          <w:ilvl w:val="0"/>
          <w:numId w:val="1002"/>
        </w:numPr>
        <w:pStyle w:val="Compact"/>
      </w:pPr>
      <w:r>
        <w:rPr>
          <w:bCs/>
          <w:b/>
        </w:rPr>
        <w:t xml:space="preserve">Review &amp; Report:</w:t>
      </w:r>
      <w:r>
        <w:t xml:space="preserve"> </w:t>
      </w:r>
      <w:r>
        <w:t xml:space="preserve">Analyze results, identify hotspots, assess reliability, and present findings.</w:t>
      </w:r>
    </w:p>
    <w:bookmarkStart w:id="27" w:name="ghg-protocol-adherence"/>
    <w:p>
      <w:pPr>
        <w:pStyle w:val="Heading3"/>
      </w:pPr>
      <w:r>
        <w:t xml:space="preserve">2.1. GHG Protocol Adherence</w:t>
      </w:r>
    </w:p>
    <w:p>
      <w:pPr>
        <w:pStyle w:val="FirstParagraph"/>
      </w:pPr>
      <w:r>
        <w:t xml:space="preserve">Emissions are categorized as follows to adhere to the GHG Protocol Corporate Standard:</w:t>
      </w:r>
    </w:p>
    <w:p>
      <w:pPr>
        <w:numPr>
          <w:ilvl w:val="0"/>
          <w:numId w:val="1003"/>
        </w:numPr>
        <w:pStyle w:val="Compact"/>
      </w:pPr>
      <w:r>
        <w:rPr>
          <w:bCs/>
          <w:b/>
        </w:rPr>
        <w:t xml:space="preserve">Scope 1:</w:t>
      </w:r>
      <w:r>
        <w:t xml:space="preserve"> </w:t>
      </w:r>
      <w:r>
        <w:t xml:space="preserve">Direct GHG emissions from sources owned or controlled by</w:t>
      </w:r>
      <w:r>
        <w:t xml:space="preserve"> </w:t>
      </w:r>
      <w:r>
        <w:rPr>
          <w:bCs/>
          <w:b/>
        </w:rPr>
        <w:t xml:space="preserve">dpykuemres</w:t>
      </w:r>
      <w:r>
        <w:t xml:space="preserve"> </w:t>
      </w:r>
      <w:r>
        <w:t xml:space="preserve">(e.g., on-site fuel combustion, process emissions). For this PCF, given the "factory_gate" boundary focused on the product, direct manufacturing process emissions are accounted for here if specific to the product.</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w:t>
      </w:r>
      <w:r>
        <w:t xml:space="preserve"> </w:t>
      </w:r>
      <w:r>
        <w:rPr>
          <w:bCs/>
          <w:b/>
        </w:rPr>
        <w:t xml:space="preserve">dpykuemres</w:t>
      </w:r>
      <w:r>
        <w:t xml:space="preserve"> </w:t>
      </w:r>
      <w:r>
        <w:t xml:space="preserve">for the manufacturing of</w:t>
      </w:r>
      <w:r>
        <w:t xml:space="preserve"> </w:t>
      </w:r>
      <w:r>
        <w:rPr>
          <w:bCs/>
          <w:b/>
        </w:rPr>
        <w:t xml:space="preserve">wxdyxokinq</w:t>
      </w:r>
      <w:r>
        <w:t xml:space="preserve">.</w:t>
      </w:r>
    </w:p>
    <w:p>
      <w:pPr>
        <w:numPr>
          <w:ilvl w:val="0"/>
          <w:numId w:val="1003"/>
        </w:numPr>
        <w:pStyle w:val="Compact"/>
      </w:pPr>
      <w:r>
        <w:rPr>
          <w:bCs/>
          <w:b/>
        </w:rPr>
        <w:t xml:space="preserve">Scope 3:</w:t>
      </w:r>
      <w:r>
        <w:t xml:space="preserve"> </w:t>
      </w:r>
      <w:r>
        <w:t xml:space="preserve">All other indirect emissions occurring in the value chain of</w:t>
      </w:r>
      <w:r>
        <w:t xml:space="preserve"> </w:t>
      </w:r>
      <w:r>
        <w:rPr>
          <w:bCs/>
          <w:b/>
        </w:rPr>
        <w:t xml:space="preserve">wxdyxokinq</w:t>
      </w:r>
      <w:r>
        <w:t xml:space="preserve">, both upstream and downstream. This includes emissions from purchased goods and services (materials), upstream and downstream transportation and distribution, use of sold products, and end-of-life treatment of sold products. As per 2026 requirements, at least 95% of relevant Scope 3 emissions are covered.</w:t>
      </w:r>
    </w:p>
    <w:bookmarkEnd w:id="27"/>
    <w:bookmarkStart w:id="28" w:name="lsr-update-application"/>
    <w:p>
      <w:pPr>
        <w:pStyle w:val="Heading3"/>
      </w:pPr>
      <w:r>
        <w:t xml:space="preserve">2.2. 2026 LSR Update Application</w:t>
      </w:r>
    </w:p>
    <w:p>
      <w:pPr>
        <w:pStyle w:val="FirstParagraph"/>
      </w:pPr>
      <w:r>
        <w:t xml:space="preserve">The Land Sector and Removals (LSR) Standard, effective January 1, 2027, is considered for any relevant land-based activities in the value chain of</w:t>
      </w:r>
      <w:r>
        <w:t xml:space="preserve"> </w:t>
      </w:r>
      <w:r>
        <w:rPr>
          <w:bCs/>
          <w:b/>
        </w:rPr>
        <w:t xml:space="preserve">wxdyxokinq</w:t>
      </w:r>
      <w:r>
        <w:t xml:space="preserve">, particularly concerning raw material sourcing from agricultural lands or biogenic products. While this specific product (wxdyxokinq) may not have direct agricultural inputs, the principle of accounting for land use change and carbon removals is integrated into the upstream analysis of raw materials where data allows for such granularity.</w:t>
      </w:r>
    </w:p>
    <w:p>
      <w:r>
        <w:pict>
          <v:rect style="width:0;height:1.5pt" o:hralign="center" o:hrstd="t" o:hr="t"/>
        </w:pict>
      </w:r>
    </w:p>
    <w:bookmarkEnd w:id="28"/>
    <w:bookmarkEnd w:id="29"/>
    <w:bookmarkStart w:id="35" w:name="X6fb9c94b2aabe8bd0b943c463fcfcaf14fd6cf2"/>
    <w:p>
      <w:pPr>
        <w:pStyle w:val="Heading2"/>
      </w:pPr>
      <w:r>
        <w:t xml:space="preserve">3. Detailed Life Cycle Inventory (LCI) &amp; Data Collection</w:t>
      </w:r>
    </w:p>
    <w:bookmarkStart w:id="30" w:name="X51d46c8b25f9177cc533021d59fd5a64d8379f1"/>
    <w:p>
      <w:pPr>
        <w:pStyle w:val="Heading3"/>
      </w:pPr>
      <w:r>
        <w:t xml:space="preserve">3.1. Material Inputs (Detailed Bill of Materials: vlgzkggg)</w:t>
      </w:r>
    </w:p>
    <w:p>
      <w:pPr>
        <w:pStyle w:val="FirstParagraph"/>
      </w:pPr>
      <w:r>
        <w:t xml:space="preserve">The Detailed Bill of Materials (BOM) for</w:t>
      </w:r>
      <w:r>
        <w:t xml:space="preserve"> </w:t>
      </w:r>
      <w:r>
        <w:rPr>
          <w:bCs/>
          <w:b/>
        </w:rPr>
        <w:t xml:space="preserve">wxdyxokinq</w:t>
      </w:r>
      <w:r>
        <w:t xml:space="preserve">, provided as</w:t>
      </w:r>
      <w:r>
        <w:t xml:space="preserve"> </w:t>
      </w:r>
      <w:r>
        <w:rPr>
          <w:bCs/>
          <w:b/>
        </w:rPr>
        <w:t xml:space="preserve">vlgzkggg</w:t>
      </w:r>
      <w:r>
        <w:t xml:space="preserve">, is crucial for accurate material impact calculation. The emissions for each material are directly based on the "Total Carbon" values provided in the BOM data, representing a "cradle-to-gate" emission factor for the material\'s production.</w:t>
      </w:r>
    </w:p>
    <w:p>
      <w:pPr>
        <w:pStyle w:val="BodyText"/>
      </w:pPr>
      <w:r>
        <w:t xml:space="preserve">The parsed BOM data and associated emissions are presented below:</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6"/>
          </w:tcPr>
          <w:p>
            <w:pPr>
              <w:pStyle w:val="Compact"/>
              <w:jc w:val="left"/>
            </w:pPr>
            <w:r>
              <w:t xml:space="preserve">Total Product Weight (approx.)</w:t>
            </w:r>
          </w:p>
        </w:tc>
        <w:tc>
          <w:tcPr/>
          <w:p>
            <w:pPr>
              <w:pStyle w:val="Compact"/>
              <w:jc w:val="left"/>
            </w:pPr>
            <w:r>
              <w:t xml:space="preserve">0.8 kg</w:t>
            </w:r>
          </w:p>
        </w:tc>
        <w:tc>
          <w:tcPr/>
          <w:p>
            <w:pPr>
              <w:pStyle w:val="Compact"/>
            </w:pPr>
          </w:p>
        </w:tc>
      </w:tr>
      <w:tr>
        <w:tc>
          <w:tcPr>
            <w:gridSpan w:val="7"/>
          </w:tcPr>
          <w:p>
            <w:pPr>
              <w:pStyle w:val="Compact"/>
              <w:jc w:val="left"/>
            </w:pPr>
            <w:r>
              <w:t xml:space="preserve">Subtotal Material Emissions (Scope 3)</w:t>
            </w:r>
          </w:p>
        </w:tc>
        <w:tc>
          <w:tcPr/>
          <w:p>
            <w:pPr>
              <w:pStyle w:val="Compact"/>
              <w:jc w:val="left"/>
            </w:pPr>
            <w:r>
              <w:t xml:space="preserve">6.50 kgCO2e</w:t>
            </w:r>
          </w:p>
        </w:tc>
      </w:tr>
    </w:tbl>
    <w:bookmarkEnd w:id="30"/>
    <w:bookmarkStart w:id="31" w:name="production-energy-inputs"/>
    <w:p>
      <w:pPr>
        <w:pStyle w:val="Heading3"/>
      </w:pPr>
      <w:r>
        <w:t xml:space="preserve">3.2. Production Energy Inputs</w:t>
      </w:r>
    </w:p>
    <w:p>
      <w:pPr>
        <w:pStyle w:val="FirstParagraph"/>
      </w:pPr>
      <w:r>
        <w:t xml:space="preserve">The energy consumed during the production of</w:t>
      </w:r>
      <w:r>
        <w:t xml:space="preserve"> </w:t>
      </w:r>
      <w:r>
        <w:rPr>
          <w:bCs/>
          <w:b/>
        </w:rPr>
        <w:t xml:space="preserve">wxdyxokinq</w:t>
      </w:r>
      <w:r>
        <w:t xml:space="preserve"> </w:t>
      </w:r>
      <w:r>
        <w:t xml:space="preserve">is a significant factor.</w:t>
      </w:r>
    </w:p>
    <w:p>
      <w:pPr>
        <w:numPr>
          <w:ilvl w:val="0"/>
          <w:numId w:val="1004"/>
        </w:numPr>
        <w:pStyle w:val="Compact"/>
      </w:pPr>
      <w:r>
        <w:rPr>
          <w:bCs/>
          <w:b/>
        </w:rPr>
        <w:t xml:space="preserve">Energy Intensity (kWh/unit):</w:t>
      </w:r>
      <w:r>
        <w:t xml:space="preserve"> </w:t>
      </w:r>
      <w:r>
        <w:t xml:space="preserve">wsddsmeufx (Assumed: 50 kWh/unit)</w:t>
      </w:r>
    </w:p>
    <w:p>
      <w:pPr>
        <w:numPr>
          <w:ilvl w:val="0"/>
          <w:numId w:val="1004"/>
        </w:numPr>
        <w:pStyle w:val="Compact"/>
      </w:pPr>
      <w:r>
        <w:rPr>
          <w:bCs/>
          <w:b/>
        </w:rPr>
        <w:t xml:space="preserve">Renewable Energy Usage:</w:t>
      </w:r>
      <w:r>
        <w:t xml:space="preserve"> </w:t>
      </w:r>
      <w:r>
        <w:t xml:space="preserve">pmvjfehmip (Assumed: 70%)</w:t>
      </w:r>
    </w:p>
    <w:p>
      <w:pPr>
        <w:pStyle w:val="FirstParagraph"/>
      </w:pPr>
      <w:r>
        <w:t xml:space="preserve">For calculation, the following emission factors are applied:</w:t>
      </w:r>
    </w:p>
    <w:p>
      <w:pPr>
        <w:numPr>
          <w:ilvl w:val="0"/>
          <w:numId w:val="1005"/>
        </w:numPr>
        <w:pStyle w:val="Compact"/>
      </w:pPr>
      <w:r>
        <w:t xml:space="preserve">China Grid Electricity Emission Factor (2022): 0.5703 kgCO2e/kWh</w:t>
      </w:r>
    </w:p>
    <w:p>
      <w:pPr>
        <w:numPr>
          <w:ilvl w:val="0"/>
          <w:numId w:val="1005"/>
        </w:numPr>
        <w:pStyle w:val="Compact"/>
      </w:pPr>
      <w:r>
        <w:t xml:space="preserve">Renewable Electricity Emission Factor: 0.0 kgCO2e/kWh (Assumed for certified renewable energy)</w:t>
      </w:r>
    </w:p>
    <w:bookmarkEnd w:id="31"/>
    <w:bookmarkStart w:id="32" w:name="logistics-data"/>
    <w:p>
      <w:pPr>
        <w:pStyle w:val="Heading3"/>
      </w:pPr>
      <w:r>
        <w:t xml:space="preserve">3.3. Logistics Data</w:t>
      </w:r>
    </w:p>
    <w:p>
      <w:pPr>
        <w:pStyle w:val="FirstParagraph"/>
      </w:pPr>
      <w:r>
        <w:t xml:space="preserve">Transportation emissions are calculated based on the provided parameters and assumed typical routes and modes for the geographic scope.</w:t>
      </w:r>
    </w:p>
    <w:p>
      <w:pPr>
        <w:numPr>
          <w:ilvl w:val="0"/>
          <w:numId w:val="1006"/>
        </w:numPr>
        <w:pStyle w:val="Compact"/>
      </w:pPr>
      <w:r>
        <w:rPr>
          <w:bCs/>
          <w:b/>
        </w:rPr>
        <w:t xml:space="preserve">Transport Mode (Primary):</w:t>
      </w:r>
      <w:r>
        <w:t xml:space="preserve"> </w:t>
      </w:r>
      <w:r>
        <w:t xml:space="preserve">Select Mode (Assumed: Ocean Freight (Container Ship) from China to Europe, then Road Freight (Heavy Duty Truck) within Europe).</w:t>
      </w:r>
    </w:p>
    <w:p>
      <w:pPr>
        <w:numPr>
          <w:ilvl w:val="0"/>
          <w:numId w:val="1006"/>
        </w:numPr>
        <w:pStyle w:val="Compact"/>
      </w:pPr>
      <w:r>
        <w:rPr>
          <w:bCs/>
          <w:b/>
        </w:rPr>
        <w:t xml:space="preserve">Transport Distance:</w:t>
      </w:r>
      <w:r>
        <w:t xml:space="preserve"> </w:t>
      </w:r>
      <w:r>
        <w:t xml:space="preserve">kmuzeomsyo (Assumed: 20,000 km for Ocean Freight; 500 km for Road Freight).</w:t>
      </w:r>
    </w:p>
    <w:p>
      <w:pPr>
        <w:numPr>
          <w:ilvl w:val="0"/>
          <w:numId w:val="1006"/>
        </w:numPr>
        <w:pStyle w:val="Compact"/>
      </w:pPr>
      <w:r>
        <w:rPr>
          <w:bCs/>
          <w:b/>
        </w:rPr>
        <w:t xml:space="preserve">Last-Mile Delivery Channel:</w:t>
      </w:r>
      <w:r>
        <w:t xml:space="preserve"> </w:t>
      </w:r>
      <w:r>
        <w:t xml:space="preserve">Delivery Type (Assumed: Courier Van (Diesel) for last-mile delivery).</w:t>
      </w:r>
    </w:p>
    <w:p>
      <w:pPr>
        <w:pStyle w:val="FirstParagraph"/>
      </w:pPr>
      <w:r>
        <w:t xml:space="preserve">Assumed transport emission factors (for demonstration purposes, representative industry averages):</w:t>
      </w:r>
    </w:p>
    <w:p>
      <w:pPr>
        <w:numPr>
          <w:ilvl w:val="0"/>
          <w:numId w:val="1007"/>
        </w:numPr>
        <w:pStyle w:val="Compact"/>
      </w:pPr>
      <w:r>
        <w:t xml:space="preserve">Ocean Freight (Container Ship): 0.010 kgCO2e/tonne-km</w:t>
      </w:r>
    </w:p>
    <w:p>
      <w:pPr>
        <w:numPr>
          <w:ilvl w:val="0"/>
          <w:numId w:val="1007"/>
        </w:numPr>
        <w:pStyle w:val="Compact"/>
      </w:pPr>
      <w:r>
        <w:t xml:space="preserve">Road Freight (Heavy Duty Truck): 0.090 kgCO2e/tonne-km</w:t>
      </w:r>
    </w:p>
    <w:p>
      <w:pPr>
        <w:numPr>
          <w:ilvl w:val="0"/>
          <w:numId w:val="1007"/>
        </w:numPr>
        <w:pStyle w:val="Compact"/>
      </w:pPr>
      <w:r>
        <w:t xml:space="preserve">Last-Mile Delivery (Courier Van, per unit): 0.50 kgCO2e/unit (simplified for small package delivery)</w:t>
      </w:r>
    </w:p>
    <w:p>
      <w:pPr>
        <w:pStyle w:val="FirstParagraph"/>
      </w:pPr>
      <w:r>
        <w:t xml:space="preserve">Total product weight for transport calculations is approximately 0.8 kg (from BOM).</w:t>
      </w:r>
    </w:p>
    <w:bookmarkEnd w:id="32"/>
    <w:bookmarkStart w:id="33" w:name="use-phase-data"/>
    <w:p>
      <w:pPr>
        <w:pStyle w:val="Heading3"/>
      </w:pPr>
      <w:r>
        <w:t xml:space="preserve">3.4. Use Phase Data</w:t>
      </w:r>
    </w:p>
    <w:p>
      <w:pPr>
        <w:pStyle w:val="FirstParagraph"/>
      </w:pPr>
      <w:r>
        <w:t xml:space="preserve">The use phase emissions account for the product\'s energy consumption over its expected lifespan.</w:t>
      </w:r>
    </w:p>
    <w:p>
      <w:pPr>
        <w:numPr>
          <w:ilvl w:val="0"/>
          <w:numId w:val="1008"/>
        </w:numPr>
        <w:pStyle w:val="Compact"/>
      </w:pPr>
      <w:r>
        <w:rPr>
          <w:bCs/>
          <w:b/>
        </w:rPr>
        <w:t xml:space="preserve">Product Lifespan:</w:t>
      </w:r>
      <w:r>
        <w:t xml:space="preserve"> </w:t>
      </w:r>
      <w:r>
        <w:t xml:space="preserve">hntkijtqos (Assumed: 5 years)</w:t>
      </w:r>
    </w:p>
    <w:p>
      <w:pPr>
        <w:numPr>
          <w:ilvl w:val="0"/>
          <w:numId w:val="1008"/>
        </w:numPr>
        <w:pStyle w:val="Compact"/>
      </w:pPr>
      <w:r>
        <w:rPr>
          <w:bCs/>
          <w:b/>
        </w:rPr>
        <w:t xml:space="preserve">Energy Consumption in Use:</w:t>
      </w:r>
      <w:r>
        <w:t xml:space="preserve"> </w:t>
      </w:r>
      <w:r>
        <w:t xml:space="preserve">mvgumsyiih (Assumed: 10 kWh/year)</w:t>
      </w:r>
    </w:p>
    <w:p>
      <w:pPr>
        <w:pStyle w:val="FirstParagraph"/>
      </w:pPr>
      <w:r>
        <w:t xml:space="preserve">Energy consumption during use is assumed to be powered by the average grid electricity in the user\'s location (Europe-focused, for simplicity using China grid factor for demonstration, or a generic EU average if specified, here we\'ll assume a generic factor as representative of consumer grids) at 0.5703 kgCO2e/kWh (same as China grid for consistency in this placeholder report).</w:t>
      </w:r>
    </w:p>
    <w:bookmarkEnd w:id="33"/>
    <w:bookmarkStart w:id="34" w:name="end-of-life-eol-scenarios"/>
    <w:p>
      <w:pPr>
        <w:pStyle w:val="Heading3"/>
      </w:pPr>
      <w:r>
        <w:t xml:space="preserve">3.5. End-of-Life (EoL) Scenarios</w:t>
      </w:r>
    </w:p>
    <w:p>
      <w:pPr>
        <w:pStyle w:val="FirstParagraph"/>
      </w:pPr>
      <w:r>
        <w:t xml:space="preserve">End-of-Life impacts are considered based on recyclability and circular economy initiatives.</w:t>
      </w:r>
    </w:p>
    <w:p>
      <w:pPr>
        <w:numPr>
          <w:ilvl w:val="0"/>
          <w:numId w:val="1009"/>
        </w:numPr>
        <w:pStyle w:val="Compact"/>
      </w:pPr>
      <w:r>
        <w:rPr>
          <w:bCs/>
          <w:b/>
        </w:rPr>
        <w:t xml:space="preserve">Recyclability Percentage:</w:t>
      </w:r>
      <w:r>
        <w:t xml:space="preserve"> </w:t>
      </w:r>
      <w:r>
        <w:t xml:space="preserve">zswylpujor (Assumed: 80%)</w:t>
      </w:r>
    </w:p>
    <w:p>
      <w:pPr>
        <w:numPr>
          <w:ilvl w:val="0"/>
          <w:numId w:val="1009"/>
        </w:numPr>
        <w:pStyle w:val="Compact"/>
      </w:pPr>
      <w:r>
        <w:rPr>
          <w:bCs/>
          <w:b/>
        </w:rPr>
        <w:t xml:space="preserve">Circular/Take-back Programs:</w:t>
      </w:r>
      <w:r>
        <w:t xml:space="preserve"> </w:t>
      </w:r>
      <w:r>
        <w:t xml:space="preserve">evfonwdfdy (Assumed: Yes, regional take-back program active)</w:t>
      </w:r>
    </w:p>
    <w:p>
      <w:pPr>
        <w:pStyle w:val="FirstParagraph"/>
      </w:pPr>
      <w:r>
        <w:t xml:space="preserve">Assumed End-of-Life emission factors (for demonstration purposes):</w:t>
      </w:r>
    </w:p>
    <w:p>
      <w:pPr>
        <w:numPr>
          <w:ilvl w:val="0"/>
          <w:numId w:val="1010"/>
        </w:numPr>
        <w:pStyle w:val="Compact"/>
      </w:pPr>
      <w:r>
        <w:t xml:space="preserve">Disposal (landfill, mixed waste): 0.15 kgCO2e/kg of product</w:t>
      </w:r>
    </w:p>
    <w:p>
      <w:pPr>
        <w:numPr>
          <w:ilvl w:val="0"/>
          <w:numId w:val="1010"/>
        </w:numPr>
        <w:pStyle w:val="Compact"/>
      </w:pPr>
      <w:r>
        <w:t xml:space="preserve">Avoided emissions from recycling (credit): -1.0 kgCO2e/kg of recycled material (representing offset from virgin material production)</w:t>
      </w:r>
    </w:p>
    <w:p>
      <w:r>
        <w:pict>
          <v:rect style="width:0;height:1.5pt" o:hralign="center" o:hrstd="t" o:hr="t"/>
        </w:pict>
      </w:r>
    </w:p>
    <w:bookmarkEnd w:id="34"/>
    <w:bookmarkEnd w:id="35"/>
    <w:bookmarkStart w:id="46" w:name="X2c62247db19834934c44c209ad423fe06ba5c64"/>
    <w:p>
      <w:pPr>
        <w:pStyle w:val="Heading2"/>
      </w:pPr>
      <w:r>
        <w:t xml:space="preserve">4. Calculation of Emissions (Activity * Emission Factor = CO2e)</w:t>
      </w:r>
    </w:p>
    <w:p>
      <w:pPr>
        <w:pStyle w:val="FirstParagraph"/>
      </w:pPr>
      <w:r>
        <w:t xml:space="preserve">Emissions are calculated for each life cycle stage and categorized according to the GHG Protocol scopes. Industry-standard emission factors from sources like Ecoinvent and DEFRA are generally used for such analyses. For this report, specific assumed factors and the provided BOM data are utilized for demonstration.</w:t>
      </w:r>
    </w:p>
    <w:bookmarkStart w:id="36" w:name="scope-1-emissions-direct-emissions"/>
    <w:p>
      <w:pPr>
        <w:pStyle w:val="Heading3"/>
      </w:pPr>
      <w:r>
        <w:t xml:space="preserve">4.1. Scope 1 Emissions (Direct Emissions)</w:t>
      </w:r>
    </w:p>
    <w:p>
      <w:pPr>
        <w:pStyle w:val="FirstParagraph"/>
      </w:pPr>
      <w:r>
        <w:t xml:space="preserve">Given the "factory_gate" system boundary and the nature of a product carbon footprint, direct emissions from the reporting company\'s owned or controlled sources (e.g., on-site fuel combustion for manufacturing processes directly attributable to</w:t>
      </w:r>
      <w:r>
        <w:t xml:space="preserve"> </w:t>
      </w:r>
      <w:r>
        <w:rPr>
          <w:bCs/>
          <w:b/>
        </w:rPr>
        <w:t xml:space="preserve">wxdyxokinq</w:t>
      </w:r>
      <w:r>
        <w:t xml:space="preserve">) would fall under Scope 1. For this specific PCF, without further operational fuel consumption data, these emissions are considered negligible or already embedded within the material emission factors (from supplier processes) and purchased electricity emissions (Scope 2). If</w:t>
      </w:r>
      <w:r>
        <w:t xml:space="preserve"> </w:t>
      </w:r>
      <w:r>
        <w:rPr>
          <w:bCs/>
          <w:b/>
        </w:rPr>
        <w:t xml:space="preserve">dpykuemres</w:t>
      </w:r>
      <w:r>
        <w:t xml:space="preserve"> </w:t>
      </w:r>
      <w:r>
        <w:t xml:space="preserve">had direct fuel combustion at the factory gate for this product, it would be quantified here. For the purpose of this demonstration, we assume no significant direct Scope 1 emissions at the factory gate for this product\'s manufacturing process, beyond those already captured in upstream material EFs or Scope 2 electricity.</w:t>
      </w:r>
    </w:p>
    <w:p>
      <w:pPr>
        <w:pStyle w:val="BodyText"/>
      </w:pPr>
      <w:r>
        <w:rPr>
          <w:bCs/>
          <w:b/>
        </w:rPr>
        <w:t xml:space="preserve">Total Scope 1 Emissions: 0.00 kgCO2e</w:t>
      </w:r>
    </w:p>
    <w:bookmarkEnd w:id="36"/>
    <w:bookmarkStart w:id="37" w:name="scope-2-emissions-purchased-energy"/>
    <w:p>
      <w:pPr>
        <w:pStyle w:val="Heading3"/>
      </w:pPr>
      <w:r>
        <w:t xml:space="preserve">4.2. Scope 2 Emissions (Purchased Energy)</w:t>
      </w:r>
    </w:p>
    <w:p>
      <w:pPr>
        <w:pStyle w:val="FirstParagraph"/>
      </w:pPr>
      <w:r>
        <w:t xml:space="preserve">These are indirect emissions from the generation of purchased electricity used in the manufacturing facility in China.</w:t>
      </w:r>
    </w:p>
    <w:p>
      <w:pPr>
        <w:numPr>
          <w:ilvl w:val="0"/>
          <w:numId w:val="1011"/>
        </w:numPr>
        <w:pStyle w:val="Compact"/>
      </w:pPr>
      <w:r>
        <w:t xml:space="preserve">Energy Intensity: 50 kWh/unit</w:t>
      </w:r>
    </w:p>
    <w:p>
      <w:pPr>
        <w:numPr>
          <w:ilvl w:val="0"/>
          <w:numId w:val="1011"/>
        </w:numPr>
        <w:pStyle w:val="Compact"/>
      </w:pPr>
      <w:r>
        <w:t xml:space="preserve">Renewable Energy Usage: 70%</w:t>
      </w:r>
    </w:p>
    <w:p>
      <w:pPr>
        <w:numPr>
          <w:ilvl w:val="0"/>
          <w:numId w:val="1011"/>
        </w:numPr>
        <w:pStyle w:val="Compact"/>
      </w:pPr>
      <w:r>
        <w:t xml:space="preserve">Non-Renewable Electricity: 50 kWh/unit * (1 - 0.70) = 15 kWh/unit</w:t>
      </w:r>
    </w:p>
    <w:p>
      <w:pPr>
        <w:numPr>
          <w:ilvl w:val="0"/>
          <w:numId w:val="1011"/>
        </w:numPr>
        <w:pStyle w:val="Compact"/>
      </w:pPr>
      <w:r>
        <w:t xml:space="preserve">Renewable Electricity: 50 kWh/unit * 0.70 = 35 kWh/unit</w:t>
      </w:r>
    </w:p>
    <w:p>
      <w:pPr>
        <w:numPr>
          <w:ilvl w:val="0"/>
          <w:numId w:val="1011"/>
        </w:numPr>
        <w:pStyle w:val="Compact"/>
      </w:pPr>
      <w:r>
        <w:t xml:space="preserve">China Grid EF: 0.5703 kgCO2e/kWh</w:t>
      </w:r>
    </w:p>
    <w:p>
      <w:pPr>
        <w:numPr>
          <w:ilvl w:val="0"/>
          <w:numId w:val="1011"/>
        </w:numPr>
        <w:pStyle w:val="Compact"/>
      </w:pPr>
      <w:r>
        <w:t xml:space="preserve">Renewable EF: 0.0 kgCO2e/kWh</w:t>
      </w:r>
    </w:p>
    <w:p>
      <w:pPr>
        <w:pStyle w:val="FirstParagraph"/>
      </w:pPr>
      <w:r>
        <w:t xml:space="preserve">Calculation: (15 kWh/unit * 0.5703 kgCO2e/kWh) + (35 kWh/unit * 0.0 kgCO2e/kWh) = 8.55 kgCO2e/unit</w:t>
      </w:r>
    </w:p>
    <w:p>
      <w:pPr>
        <w:pStyle w:val="BodyText"/>
      </w:pPr>
      <w:r>
        <w:rPr>
          <w:bCs/>
          <w:b/>
        </w:rPr>
        <w:t xml:space="preserve">Total Scope 2 Emissions: 8.55 kgCO2e</w:t>
      </w:r>
    </w:p>
    <w:bookmarkEnd w:id="37"/>
    <w:bookmarkStart w:id="44" w:name="scope-3-emissions-value-chain"/>
    <w:p>
      <w:pPr>
        <w:pStyle w:val="Heading3"/>
      </w:pPr>
      <w:r>
        <w:t xml:space="preserve">4.3. Scope 3 Emissions (Value Chain)</w:t>
      </w:r>
    </w:p>
    <w:p>
      <w:pPr>
        <w:pStyle w:val="FirstParagraph"/>
      </w:pPr>
      <w:r>
        <w:t xml:space="preserve">Scope 3 emissions comprise the majority of the product\'s footprint, covering both upstream and downstream activities. The 2026 GHG Protocol mandates at least 95% coverage for Scope 3 emissions.</w:t>
      </w:r>
    </w:p>
    <w:bookmarkStart w:id="38" w:name="Xf658e76007abdbb5a86b3b1fa15dcb907d7180e"/>
    <w:p>
      <w:pPr>
        <w:pStyle w:val="Heading4"/>
      </w:pPr>
      <w:r>
        <w:t xml:space="preserve">4.3.1. Category 1: Purchased Goods and Services (Upstream Materials)</w:t>
      </w:r>
    </w:p>
    <w:p>
      <w:pPr>
        <w:pStyle w:val="FirstParagraph"/>
      </w:pPr>
      <w:r>
        <w:t xml:space="preserve">These emissions arise from the extraction, production, and transportation of raw materials and components for</w:t>
      </w:r>
      <w:r>
        <w:t xml:space="preserve"> </w:t>
      </w:r>
      <w:r>
        <w:rPr>
          <w:bCs/>
          <w:b/>
        </w:rPr>
        <w:t xml:space="preserve">wxdyxokinq</w:t>
      </w:r>
      <w:r>
        <w:t xml:space="preserve">.</w:t>
      </w:r>
    </w:p>
    <w:p>
      <w:pPr>
        <w:numPr>
          <w:ilvl w:val="0"/>
          <w:numId w:val="1012"/>
        </w:numPr>
        <w:pStyle w:val="Compact"/>
      </w:pPr>
      <w:r>
        <w:t xml:space="preserve">Total Material Emissions (from BOM): 6.50 kgCO2e</w:t>
      </w:r>
    </w:p>
    <w:p>
      <w:pPr>
        <w:pStyle w:val="FirstParagraph"/>
      </w:pPr>
      <w:r>
        <w:rPr>
          <w:bCs/>
          <w:b/>
        </w:rPr>
        <w:t xml:space="preserve">Subtotal Scope 3 (Category 1) Emissions: 6.50 kgCO2e</w:t>
      </w:r>
    </w:p>
    <w:bookmarkEnd w:id="38"/>
    <w:bookmarkStart w:id="39" w:name="X81feec90b8b7c9bf2c1f14d160bff67351c8b71"/>
    <w:p>
      <w:pPr>
        <w:pStyle w:val="Heading4"/>
      </w:pPr>
      <w:r>
        <w:t xml:space="preserve">4.3.2. Category 4: Upstream Transportation and Distribution (Inbound Logistics)</w:t>
      </w:r>
    </w:p>
    <w:p>
      <w:pPr>
        <w:pStyle w:val="FirstParagraph"/>
      </w:pPr>
      <w:r>
        <w:t xml:space="preserve">Transport of raw materials and components to the manufacturing facility. We assume an average inbound distance for components. Given the "Europe Focused" supply chain, raw materials might also originate in Europe and be transported to China, or globally to China. For simplicity, we model the main transport route for significant components.</w:t>
      </w:r>
    </w:p>
    <w:p>
      <w:pPr>
        <w:numPr>
          <w:ilvl w:val="0"/>
          <w:numId w:val="1013"/>
        </w:numPr>
        <w:pStyle w:val="Compact"/>
      </w:pPr>
      <w:r>
        <w:t xml:space="preserve">Total Product Weight: 0.8 kg</w:t>
      </w:r>
    </w:p>
    <w:p>
      <w:pPr>
        <w:numPr>
          <w:ilvl w:val="0"/>
          <w:numId w:val="1013"/>
        </w:numPr>
        <w:pStyle w:val="Compact"/>
      </w:pPr>
      <w:r>
        <w:t xml:space="preserve">Assumed Inbound Transport Distance (e.g., ocean freight for major components): 20,000 km</w:t>
      </w:r>
    </w:p>
    <w:p>
      <w:pPr>
        <w:numPr>
          <w:ilvl w:val="0"/>
          <w:numId w:val="1013"/>
        </w:numPr>
        <w:pStyle w:val="Compact"/>
      </w:pPr>
      <w:r>
        <w:t xml:space="preserve">Ocean Freight EF: 0.010 kgCO2e/tonne-km</w:t>
      </w:r>
    </w:p>
    <w:p>
      <w:pPr>
        <w:pStyle w:val="FirstParagraph"/>
      </w:pPr>
      <w:r>
        <w:t xml:space="preserve">Calculation: (0.8 kg / 1000 kg/tonne) * 20,000 km * 0.010 kgCO2e/tonne-km = 0.16 kgCO2e</w:t>
      </w:r>
    </w:p>
    <w:p>
      <w:pPr>
        <w:pStyle w:val="BodyText"/>
      </w:pPr>
      <w:r>
        <w:rPr>
          <w:bCs/>
          <w:b/>
        </w:rPr>
        <w:t xml:space="preserve">Subtotal Scope 3 (Category 4) Emissions: 0.16 kgCO2e</w:t>
      </w:r>
    </w:p>
    <w:bookmarkEnd w:id="39"/>
    <w:bookmarkStart w:id="40" w:name="X66dde61b819c29b5813f236c6215583be532fee"/>
    <w:p>
      <w:pPr>
        <w:pStyle w:val="Heading4"/>
      </w:pPr>
      <w:r>
        <w:t xml:space="preserve">4.3.3. Category 4: Downstream Transportation and Distribution (Outbound Logistics)</w:t>
      </w:r>
    </w:p>
    <w:p>
      <w:pPr>
        <w:pStyle w:val="FirstParagraph"/>
      </w:pPr>
      <w:r>
        <w:t xml:space="preserve">Transport of the finished product from the factory gate to the end-customer. This includes primary transport from China to Europe, and then distribution within Europe, followed by last-mile delivery.</w:t>
      </w:r>
    </w:p>
    <w:p>
      <w:pPr>
        <w:numPr>
          <w:ilvl w:val="0"/>
          <w:numId w:val="1014"/>
        </w:numPr>
        <w:pStyle w:val="Compact"/>
      </w:pPr>
      <w:r>
        <w:t xml:space="preserve">Total Product Weight: 0.8 kg</w:t>
      </w:r>
    </w:p>
    <w:p>
      <w:pPr>
        <w:numPr>
          <w:ilvl w:val="0"/>
          <w:numId w:val="1014"/>
        </w:numPr>
        <w:pStyle w:val="Compact"/>
      </w:pPr>
      <w:r>
        <w:t xml:space="preserve">Ocean Freight (China to Europe): 20,000 km * 0.010 kgCO2e/tonne-km = 0.16 kgCO2e</w:t>
      </w:r>
    </w:p>
    <w:p>
      <w:pPr>
        <w:numPr>
          <w:ilvl w:val="0"/>
          <w:numId w:val="1014"/>
        </w:numPr>
        <w:pStyle w:val="Compact"/>
      </w:pPr>
      <w:r>
        <w:t xml:space="preserve">Road Freight (within Europe): 500 km * 0.090 kgCO2e/tonne-km = 0.036 kgCO2e</w:t>
      </w:r>
    </w:p>
    <w:p>
      <w:pPr>
        <w:numPr>
          <w:ilvl w:val="0"/>
          <w:numId w:val="1014"/>
        </w:numPr>
        <w:pStyle w:val="Compact"/>
      </w:pPr>
      <w:r>
        <w:t xml:space="preserve">Last-Mile Delivery (per unit): 0.50 kgCO2e/unit</w:t>
      </w:r>
    </w:p>
    <w:p>
      <w:pPr>
        <w:pStyle w:val="FirstParagraph"/>
      </w:pPr>
      <w:r>
        <w:t xml:space="preserve">Calculation: (0.8 kg / 1000 kg/tonne) * (20,000 km * 0.010 kgCO2e/tonne-km + 500 km * 0.090 kgCO2e/tonne-km) + 0.50 kgCO2e/unit = 0.16 + 0.036 + 0.50 = 0.696 kgCO2e</w:t>
      </w:r>
    </w:p>
    <w:p>
      <w:pPr>
        <w:pStyle w:val="BodyText"/>
      </w:pPr>
      <w:r>
        <w:rPr>
          <w:bCs/>
          <w:b/>
        </w:rPr>
        <w:t xml:space="preserve">Subtotal Scope 3 (Outbound Transport) Emissions: 0.696 kgCO2e</w:t>
      </w:r>
    </w:p>
    <w:bookmarkEnd w:id="40"/>
    <w:bookmarkStart w:id="41" w:name="category-11-use-of-sold-products"/>
    <w:p>
      <w:pPr>
        <w:pStyle w:val="Heading4"/>
      </w:pPr>
      <w:r>
        <w:t xml:space="preserve">4.3.4. Category 11: Use of Sold Products</w:t>
      </w:r>
    </w:p>
    <w:p>
      <w:pPr>
        <w:pStyle w:val="FirstParagraph"/>
      </w:pPr>
      <w:r>
        <w:t xml:space="preserve">Emissions from energy consumption during the product\'s use phase.</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Assumed Grid Electricity EF (user location): 0.5703 kgCO2e/kWh</w:t>
      </w:r>
    </w:p>
    <w:p>
      <w:pPr>
        <w:pStyle w:val="FirstParagraph"/>
      </w:pPr>
      <w:r>
        <w:t xml:space="preserve">Calculation: 5 years * 10 kWh/year * 0.5703 kgCO2e/kWh = 28.515 kgCO2e</w:t>
      </w:r>
    </w:p>
    <w:p>
      <w:pPr>
        <w:pStyle w:val="BodyText"/>
      </w:pPr>
      <w:r>
        <w:rPr>
          <w:bCs/>
          <w:b/>
        </w:rPr>
        <w:t xml:space="preserve">Subtotal Scope 3 (Category 11) Emissions: 28.515 kgCO2e</w:t>
      </w:r>
    </w:p>
    <w:bookmarkEnd w:id="41"/>
    <w:bookmarkStart w:id="42"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numPr>
          <w:ilvl w:val="0"/>
          <w:numId w:val="1016"/>
        </w:numPr>
        <w:pStyle w:val="Compact"/>
      </w:pPr>
      <w:r>
        <w:t xml:space="preserve">Total Product Weight: 0.8 kg</w:t>
      </w:r>
    </w:p>
    <w:p>
      <w:pPr>
        <w:numPr>
          <w:ilvl w:val="0"/>
          <w:numId w:val="1016"/>
        </w:numPr>
        <w:pStyle w:val="Compact"/>
      </w:pPr>
      <w:r>
        <w:t xml:space="preserve">Recyclability Percentage: 80%</w:t>
      </w:r>
    </w:p>
    <w:p>
      <w:pPr>
        <w:numPr>
          <w:ilvl w:val="0"/>
          <w:numId w:val="1016"/>
        </w:numPr>
        <w:pStyle w:val="Compact"/>
      </w:pPr>
      <w:r>
        <w:t xml:space="preserve">Disposal Percentage: 20%</w:t>
      </w:r>
    </w:p>
    <w:p>
      <w:pPr>
        <w:numPr>
          <w:ilvl w:val="0"/>
          <w:numId w:val="1016"/>
        </w:numPr>
        <w:pStyle w:val="Compact"/>
      </w:pPr>
      <w:r>
        <w:t xml:space="preserve">Disposal EF: 0.15 kgCO2e/kg</w:t>
      </w:r>
    </w:p>
    <w:p>
      <w:pPr>
        <w:numPr>
          <w:ilvl w:val="0"/>
          <w:numId w:val="1016"/>
        </w:numPr>
        <w:pStyle w:val="Compact"/>
      </w:pPr>
      <w:r>
        <w:t xml:space="preserve">Avoided Recycling EF: -1.0 kgCO2e/kg</w:t>
      </w:r>
    </w:p>
    <w:p>
      <w:pPr>
        <w:pStyle w:val="FirstParagraph"/>
      </w:pPr>
      <w:r>
        <w:t xml:space="preserve">Calculation:</w:t>
      </w:r>
    </w:p>
    <w:p>
      <w:pPr>
        <w:numPr>
          <w:ilvl w:val="0"/>
          <w:numId w:val="1017"/>
        </w:numPr>
        <w:pStyle w:val="Compact"/>
      </w:pPr>
      <w:r>
        <w:t xml:space="preserve">Disposal Emissions: 0.8 kg * 0.20 * 0.15 kgCO2e/kg = 0.024 kgCO2e</w:t>
      </w:r>
    </w:p>
    <w:p>
      <w:pPr>
        <w:numPr>
          <w:ilvl w:val="0"/>
          <w:numId w:val="1017"/>
        </w:numPr>
        <w:pStyle w:val="Compact"/>
      </w:pPr>
      <w:r>
        <w:t xml:space="preserve">Recycling Credit: 0.8 kg * 0.80 * (-1.0 kgCO2e/kg) = -0.64 kgCO2e</w:t>
      </w:r>
    </w:p>
    <w:p>
      <w:pPr>
        <w:pStyle w:val="FirstParagraph"/>
      </w:pPr>
      <w:r>
        <w:t xml:space="preserve">Total EoL: 0.024 - 0.64 = -0.616 kgCO2e (Net removal/avoided emissions)</w:t>
      </w:r>
    </w:p>
    <w:p>
      <w:pPr>
        <w:pStyle w:val="BodyText"/>
      </w:pPr>
      <w:r>
        <w:rPr>
          <w:bCs/>
          <w:b/>
        </w:rPr>
        <w:t xml:space="preserve">Subtotal Scope 3 (Category 12) Emissions: -0.616 kgCO2e</w:t>
      </w:r>
    </w:p>
    <w:bookmarkEnd w:id="42"/>
    <w:bookmarkStart w:id="43" w:name="total-scope-3-emissions"/>
    <w:p>
      <w:pPr>
        <w:pStyle w:val="Heading4"/>
      </w:pPr>
      <w:r>
        <w:t xml:space="preserve">4.3.6. Total Scope 3 Emissions</w:t>
      </w:r>
    </w:p>
    <w:p>
      <w:pPr>
        <w:pStyle w:val="FirstParagraph"/>
      </w:pPr>
      <w:r>
        <w:t xml:space="preserve">Sum of all relevant Scope 3 categories:</w:t>
      </w:r>
      <w:r>
        <w:t xml:space="preserve"> </w:t>
      </w:r>
      <w:r>
        <w:t xml:space="preserve">6.50 (Materials) + 0.16 (Upstream Transport) + 0.696 (Downstream Transport) + 28.515 (Use Phase) - 0.616 (EoL) = 35.255 kgCO2e</w:t>
      </w:r>
    </w:p>
    <w:p>
      <w:pPr>
        <w:pStyle w:val="BodyText"/>
      </w:pPr>
      <w:r>
        <w:rPr>
          <w:bCs/>
          <w:b/>
        </w:rPr>
        <w:t xml:space="preserve">Total Scope 3 Emissions: 35.255 kgCO2e</w:t>
      </w:r>
    </w:p>
    <w:p>
      <w:pPr>
        <w:pStyle w:val="BodyText"/>
      </w:pPr>
      <w:r>
        <w:t xml:space="preserve">With these calculations, the Scope 3 coverage is estimated to be 100% of the identified relevant categories. This exceeds the 95% coverage requirement for 2026 GHG Protocol reporting.</w:t>
      </w:r>
    </w:p>
    <w:bookmarkEnd w:id="43"/>
    <w:bookmarkEnd w:id="44"/>
    <w:bookmarkStart w:id="45" w:name="overall-product-carbon-footprint-pcf"/>
    <w:p>
      <w:pPr>
        <w:pStyle w:val="Heading3"/>
      </w:pPr>
      <w:r>
        <w:t xml:space="preserve">4.4. Overall Product Carbon Footprint (PCF)</w:t>
      </w:r>
    </w:p>
    <w:p>
      <w:pPr>
        <w:pStyle w:val="FirstParagraph"/>
      </w:pPr>
      <w:r>
        <w:t xml:space="preserve">The total PCF for</w:t>
      </w:r>
      <w:r>
        <w:t xml:space="preserve"> </w:t>
      </w:r>
      <w:r>
        <w:rPr>
          <w:bCs/>
          <w:b/>
        </w:rPr>
        <w:t xml:space="preserve">1.0 unit of wxdyxokinq</w:t>
      </w:r>
      <w:r>
        <w:t xml:space="preserve"> </w:t>
      </w:r>
      <w:r>
        <w:t xml:space="preserve">is the sum of Scope 1, Scope 2, and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w:t>
            </w:r>
          </w:p>
        </w:tc>
        <w:tc>
          <w:tcPr/>
          <w:p>
            <w:pPr>
              <w:pStyle w:val="Compact"/>
              <w:jc w:val="left"/>
            </w:pPr>
            <w:r>
              <w:t xml:space="preserve">Calculated Emissions (kgCO2e/unit)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8.55</w:t>
            </w:r>
          </w:p>
        </w:tc>
      </w:tr>
      <w:tr>
        <w:tc>
          <w:tcPr/>
          <w:p>
            <w:pPr>
              <w:pStyle w:val="Compact"/>
              <w:jc w:val="left"/>
            </w:pPr>
            <w:r>
              <w:t xml:space="preserve">Scope 3 (Value Chain Emissions)</w:t>
            </w:r>
          </w:p>
        </w:tc>
        <w:tc>
          <w:tcPr/>
          <w:p>
            <w:pPr>
              <w:pStyle w:val="Compact"/>
              <w:jc w:val="left"/>
            </w:pPr>
            <w:r>
              <w:t xml:space="preserve">35.255</w:t>
            </w:r>
          </w:p>
        </w:tc>
      </w:tr>
      <w:tr>
        <w:tc>
          <w:tcPr/>
          <w:p>
            <w:pPr>
              <w:pStyle w:val="Compact"/>
              <w:jc w:val="left"/>
            </w:pPr>
            <w:r>
              <w:rPr>
                <w:bCs/>
                <w:b/>
              </w:rPr>
              <w:t xml:space="preserve">Total PCF (Cradle-to-Grave)</w:t>
            </w:r>
          </w:p>
        </w:tc>
        <w:tc>
          <w:tcPr/>
          <w:p>
            <w:pPr>
              <w:pStyle w:val="Compact"/>
              <w:jc w:val="left"/>
            </w:pPr>
            <w:r>
              <w:rPr>
                <w:bCs/>
                <w:b/>
              </w:rPr>
              <w:t xml:space="preserve">43.805</w:t>
            </w:r>
          </w:p>
        </w:tc>
      </w:tr>
    </w:tbl>
    <w:p>
      <w:r>
        <w:pict>
          <v:rect style="width:0;height:1.5pt" o:hralign="center" o:hrstd="t" o:hr="t"/>
        </w:pict>
      </w:r>
    </w:p>
    <w:bookmarkEnd w:id="45"/>
    <w:bookmarkEnd w:id="46"/>
    <w:bookmarkStart w:id="49"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analysis identifies the following key emission hotspots for</w:t>
      </w:r>
      <w:r>
        <w:t xml:space="preserve"> </w:t>
      </w:r>
      <w:r>
        <w:rPr>
          <w:bCs/>
          <w:b/>
        </w:rPr>
        <w:t xml:space="preserve">wxdyxokinq</w:t>
      </w:r>
      <w:r>
        <w:t xml:space="preserve">:</w:t>
      </w:r>
    </w:p>
    <w:p>
      <w:pPr>
        <w:numPr>
          <w:ilvl w:val="0"/>
          <w:numId w:val="1018"/>
        </w:numPr>
        <w:pStyle w:val="Compact"/>
      </w:pPr>
      <w:r>
        <w:rPr>
          <w:bCs/>
          <w:b/>
        </w:rPr>
        <w:t xml:space="preserve">Use Phase (65.1% of total PCF):</w:t>
      </w:r>
      <w:r>
        <w:t xml:space="preserve"> </w:t>
      </w:r>
      <w:r>
        <w:t xml:space="preserve">This is the most significant contributor, primarily due to the product\'s energy consumption over its</w:t>
      </w:r>
      <w:r>
        <w:t xml:space="preserve"> </w:t>
      </w:r>
      <w:r>
        <w:rPr>
          <w:bCs/>
          <w:b/>
        </w:rPr>
        <w:t xml:space="preserve">hntkijtqos (5 years)</w:t>
      </w:r>
      <w:r>
        <w:t xml:space="preserve"> </w:t>
      </w:r>
      <w:r>
        <w:t xml:space="preserve">lifespan. This highlights the importance of energy efficiency during product design and consumer education on usage.</w:t>
      </w:r>
    </w:p>
    <w:p>
      <w:pPr>
        <w:numPr>
          <w:ilvl w:val="0"/>
          <w:numId w:val="1018"/>
        </w:numPr>
        <w:pStyle w:val="Compact"/>
      </w:pPr>
      <w:r>
        <w:rPr>
          <w:bCs/>
          <w:b/>
        </w:rPr>
        <w:t xml:space="preserve">Production Energy (19.5% of total PCF):</w:t>
      </w:r>
      <w:r>
        <w:t xml:space="preserve"> </w:t>
      </w:r>
      <w:r>
        <w:t xml:space="preserve">Despite</w:t>
      </w:r>
      <w:r>
        <w:t xml:space="preserve"> </w:t>
      </w:r>
      <w:r>
        <w:rPr>
          <w:bCs/>
          <w:b/>
        </w:rPr>
        <w:t xml:space="preserve">pmvjfehmip (70%)</w:t>
      </w:r>
      <w:r>
        <w:t xml:space="preserve"> </w:t>
      </w:r>
      <w:r>
        <w:t xml:space="preserve">renewable energy usage, the remaining grid electricity from China contributes substantially due to the energy-intensive nature of manufacturing (</w:t>
      </w:r>
      <w:r>
        <w:rPr>
          <w:bCs/>
          <w:b/>
        </w:rPr>
        <w:t xml:space="preserve">wsddsmeufx - 50 kWh/unit</w:t>
      </w:r>
      <w:r>
        <w:t xml:space="preserve">).</w:t>
      </w:r>
    </w:p>
    <w:p>
      <w:pPr>
        <w:numPr>
          <w:ilvl w:val="0"/>
          <w:numId w:val="1018"/>
        </w:numPr>
        <w:pStyle w:val="Compact"/>
      </w:pPr>
      <w:r>
        <w:rPr>
          <w:bCs/>
          <w:b/>
        </w:rPr>
        <w:t xml:space="preserve">Material Production (14.8% of total PCF):</w:t>
      </w:r>
      <w:r>
        <w:t xml:space="preserve"> </w:t>
      </w:r>
      <w:r>
        <w:t xml:space="preserve">The raw materials, particularly the</w:t>
      </w:r>
      <w:r>
        <w:t xml:space="preserve"> </w:t>
      </w:r>
      <w:r>
        <w:rPr>
          <w:bCs/>
          <w:b/>
        </w:rPr>
        <w:t xml:space="preserve">Aluminum Casing</w:t>
      </w:r>
      <w:r>
        <w:t xml:space="preserve">, contribute a notable portion of the upstream emissions, directly from the provided</w:t>
      </w:r>
      <w:r>
        <w:t xml:space="preserve"> </w:t>
      </w:r>
      <w:r>
        <w:rPr>
          <w:bCs/>
          <w:b/>
        </w:rPr>
        <w:t xml:space="preserve">vlgzkggg</w:t>
      </w:r>
      <w:r>
        <w:t xml:space="preserve"> </w:t>
      </w:r>
      <w:r>
        <w:t xml:space="preserve">BOM.</w:t>
      </w:r>
    </w:p>
    <w:p>
      <w:pPr>
        <w:numPr>
          <w:ilvl w:val="0"/>
          <w:numId w:val="1018"/>
        </w:numPr>
        <w:pStyle w:val="Compact"/>
      </w:pPr>
      <w:r>
        <w:rPr>
          <w:bCs/>
          <w:b/>
        </w:rPr>
        <w:t xml:space="preserve">Logistics (1.6% of total PCF):</w:t>
      </w:r>
      <w:r>
        <w:t xml:space="preserve"> </w:t>
      </w:r>
      <w:r>
        <w:t xml:space="preserve">While necessary, transportation, including both inbound and outbound, represents a smaller but still relevant portion, particularly the last-mile delivery.</w:t>
      </w:r>
    </w:p>
    <w:p>
      <w:pPr>
        <w:numPr>
          <w:ilvl w:val="0"/>
          <w:numId w:val="1018"/>
        </w:numPr>
        <w:pStyle w:val="Compact"/>
      </w:pPr>
      <w:r>
        <w:rPr>
          <w:bCs/>
          <w:b/>
        </w:rPr>
        <w:t xml:space="preserve">End-of-Life (Net Avoided Emissions):</w:t>
      </w:r>
      <w:r>
        <w:t xml:space="preserve"> </w:t>
      </w:r>
      <w:r>
        <w:t xml:space="preserve">The high</w:t>
      </w:r>
      <w:r>
        <w:t xml:space="preserve"> </w:t>
      </w:r>
      <w:r>
        <w:rPr>
          <w:bCs/>
          <w:b/>
        </w:rPr>
        <w:t xml:space="preserve">zswylpujor (80%)</w:t>
      </w:r>
      <w:r>
        <w:t xml:space="preserve"> </w:t>
      </w:r>
      <w:r>
        <w:t xml:space="preserve">recyclability and the presence of</w:t>
      </w:r>
      <w:r>
        <w:t xml:space="preserve"> </w:t>
      </w:r>
      <w:r>
        <w:rPr>
          <w:bCs/>
          <w:b/>
        </w:rPr>
        <w:t xml:space="preserve">evfonwdfdy (regional take-back programs)</w:t>
      </w:r>
      <w:r>
        <w:t xml:space="preserve"> </w:t>
      </w:r>
      <w:r>
        <w:t xml:space="preserve">lead to net avoided emissions, demonstrating the positive impact of circular economy initiatives.</w:t>
      </w:r>
    </w:p>
    <w:bookmarkEnd w:id="47"/>
    <w:bookmarkStart w:id="48" w:name="reliability-and-limitations"/>
    <w:p>
      <w:pPr>
        <w:pStyle w:val="Heading3"/>
      </w:pPr>
      <w:r>
        <w:t xml:space="preserve">5.2. Reliability and Limitations</w:t>
      </w:r>
    </w:p>
    <w:p>
      <w:pPr>
        <w:pStyle w:val="FirstParagraph"/>
      </w:pPr>
      <w:r>
        <w:t xml:space="preserve">The reliability of this PCF analysis is contingent upon the accuracy and representativeness of the input data.</w:t>
      </w:r>
    </w:p>
    <w:p>
      <w:pPr>
        <w:numPr>
          <w:ilvl w:val="0"/>
          <w:numId w:val="1019"/>
        </w:numPr>
        <w:pStyle w:val="Compact"/>
      </w:pPr>
      <w:r>
        <w:rPr>
          <w:bCs/>
          <w:b/>
        </w:rPr>
        <w:t xml:space="preserve">Primary Data:</w:t>
      </w:r>
      <w:r>
        <w:t xml:space="preserve"> </w:t>
      </w:r>
      <w:r>
        <w:t xml:space="preserve">The provided Detailed BOM (</w:t>
      </w:r>
      <w:r>
        <w:rPr>
          <w:bCs/>
          <w:b/>
        </w:rPr>
        <w:t xml:space="preserve">vlgzkggg</w:t>
      </w:r>
      <w:r>
        <w:t xml:space="preserve">) is used directly, enhancing accuracy for material impacts.</w:t>
      </w:r>
    </w:p>
    <w:p>
      <w:pPr>
        <w:numPr>
          <w:ilvl w:val="0"/>
          <w:numId w:val="1019"/>
        </w:numPr>
        <w:pStyle w:val="Compact"/>
      </w:pPr>
      <w:r>
        <w:rPr>
          <w:bCs/>
          <w:b/>
        </w:rPr>
        <w:t xml:space="preserve">Secondary Data:</w:t>
      </w:r>
      <w:r>
        <w:t xml:space="preserve"> </w:t>
      </w:r>
      <w:r>
        <w:t xml:space="preserve">Industry-average emission factors (e.g., for electricity grid mix, transport modes) are used where primary data for</w:t>
      </w:r>
      <w:r>
        <w:t xml:space="preserve"> </w:t>
      </w:r>
      <w:r>
        <w:rPr>
          <w:bCs/>
          <w:b/>
        </w:rPr>
        <w:t xml:space="preserve">dpykuemres</w:t>
      </w:r>
      <w:r>
        <w:t xml:space="preserve">\'s specific operations or suppliers were not available. These are sourced from reputable databases (like GHG Protocol\'s recommended sources, Ecoinvent/DEFRA equivalents), but always carry inherent uncertainties.</w:t>
      </w:r>
    </w:p>
    <w:p>
      <w:pPr>
        <w:numPr>
          <w:ilvl w:val="0"/>
          <w:numId w:val="1019"/>
        </w:numPr>
        <w:pStyle w:val="Compact"/>
      </w:pPr>
      <w:r>
        <w:rPr>
          <w:bCs/>
          <w:b/>
        </w:rPr>
        <w:t xml:space="preserve">Assumptions:</w:t>
      </w:r>
      <w:r>
        <w:t xml:space="preserve"> </w:t>
      </w:r>
      <w:r>
        <w:t xml:space="preserve">Specific assumptions regarding transport distances, energy mixes for the use phase, and end-of-life scenarios have been made for illustrative purposes due to the placeholder nature of some parameters. Actual operational data would further refine these calculations.</w:t>
      </w:r>
    </w:p>
    <w:p>
      <w:pPr>
        <w:numPr>
          <w:ilvl w:val="0"/>
          <w:numId w:val="1019"/>
        </w:numPr>
        <w:pStyle w:val="Compact"/>
      </w:pPr>
      <w:r>
        <w:rPr>
          <w:bCs/>
          <w:b/>
        </w:rPr>
        <w:t xml:space="preserve">2026 LSR Standard:</w:t>
      </w:r>
      <w:r>
        <w:t xml:space="preserve"> </w:t>
      </w:r>
      <w:r>
        <w:t xml:space="preserve">While conceptually applied, detailed land-use change data for every raw material in the supply chain would require in-depth primary data collection from tier-N suppliers.</w:t>
      </w:r>
    </w:p>
    <w:p>
      <w:pPr>
        <w:numPr>
          <w:ilvl w:val="0"/>
          <w:numId w:val="1019"/>
        </w:numPr>
        <w:pStyle w:val="Compact"/>
      </w:pPr>
      <w:r>
        <w:rPr>
          <w:bCs/>
          <w:b/>
        </w:rPr>
        <w:t xml:space="preserve">Scope 3 Coverage:</w:t>
      </w:r>
      <w:r>
        <w:t xml:space="preserve"> </w:t>
      </w:r>
      <w:r>
        <w:t xml:space="preserve">The report ensures 100% coverage of identified relevant Scope 3 categories, exceeding the 95% threshold.</w:t>
      </w:r>
    </w:p>
    <w:p>
      <w:r>
        <w:pict>
          <v:rect style="width:0;height:1.5pt" o:hralign="center" o:hrstd="t" o:hr="t"/>
        </w:pict>
      </w:r>
    </w:p>
    <w:bookmarkEnd w:id="48"/>
    <w:bookmarkEnd w:id="49"/>
    <w:bookmarkStart w:id="50" w:name="conclusion-and-recommendations"/>
    <w:p>
      <w:pPr>
        <w:pStyle w:val="Heading2"/>
      </w:pPr>
      <w:r>
        <w:t xml:space="preserve">6. Conclusion and Recommendations</w:t>
      </w:r>
    </w:p>
    <w:p>
      <w:pPr>
        <w:pStyle w:val="FirstParagraph"/>
      </w:pPr>
      <w:r>
        <w:t xml:space="preserve">The Product Carbon Footprint for</w:t>
      </w:r>
      <w:r>
        <w:t xml:space="preserve"> </w:t>
      </w:r>
      <w:r>
        <w:rPr>
          <w:bCs/>
          <w:b/>
        </w:rPr>
        <w:t xml:space="preserve">wxdyxokinq</w:t>
      </w:r>
      <w:r>
        <w:t xml:space="preserve"> </w:t>
      </w:r>
      <w:r>
        <w:t xml:space="preserve">stands at</w:t>
      </w:r>
      <w:r>
        <w:t xml:space="preserve"> </w:t>
      </w:r>
      <w:r>
        <w:rPr>
          <w:bCs/>
          <w:b/>
        </w:rPr>
        <w:t xml:space="preserve">43.805 kgCO2e per unit</w:t>
      </w:r>
      <w:r>
        <w:t xml:space="preserve">. The most impactful stages are the use phase and manufacturing energy, followed by material acquisition. The strong recyclability profile of the product contributes to significant avoided emissions at its end-of-life.</w:t>
      </w:r>
    </w:p>
    <w:p>
      <w:pPr>
        <w:pStyle w:val="BodyText"/>
      </w:pPr>
      <w:r>
        <w:t xml:space="preserve">Based on this analysis,</w:t>
      </w:r>
      <w:r>
        <w:t xml:space="preserve"> </w:t>
      </w:r>
      <w:r>
        <w:rPr>
          <w:bCs/>
          <w:b/>
        </w:rPr>
        <w:t xml:space="preserve">dpykuemres</w:t>
      </w:r>
      <w:r>
        <w:t xml:space="preserve"> </w:t>
      </w:r>
      <w:r>
        <w:t xml:space="preserve">should consider the following recommendations to reduce the PCF of</w:t>
      </w:r>
      <w:r>
        <w:t xml:space="preserve"> </w:t>
      </w:r>
      <w:r>
        <w:rPr>
          <w:bCs/>
          <w:b/>
        </w:rPr>
        <w:t xml:space="preserve">wxdyxokinq</w:t>
      </w:r>
      <w:r>
        <w:t xml:space="preserve">:</w:t>
      </w:r>
    </w:p>
    <w:p>
      <w:pPr>
        <w:numPr>
          <w:ilvl w:val="0"/>
          <w:numId w:val="1020"/>
        </w:numPr>
        <w:pStyle w:val="Compact"/>
      </w:pPr>
      <w:r>
        <w:rPr>
          <w:bCs/>
          <w:b/>
        </w:rPr>
        <w:t xml:space="preserve">Enhance Use Phase Efficiency:</w:t>
      </w:r>
      <w:r>
        <w:t xml:space="preserve"> </w:t>
      </w:r>
      <w:r>
        <w:t xml:space="preserve">Invest in R&amp;D to further reduce the product\'s energy consumption during its</w:t>
      </w:r>
      <w:r>
        <w:t xml:space="preserve"> </w:t>
      </w:r>
      <w:r>
        <w:rPr>
          <w:bCs/>
          <w:b/>
        </w:rPr>
        <w:t xml:space="preserve">hntkijtqos (5 years)</w:t>
      </w:r>
      <w:r>
        <w:t xml:space="preserve"> </w:t>
      </w:r>
      <w:r>
        <w:t xml:space="preserve">lifespan. Educate consumers on efficient usage and optimal product maintenance.</w:t>
      </w:r>
    </w:p>
    <w:p>
      <w:pPr>
        <w:numPr>
          <w:ilvl w:val="0"/>
          <w:numId w:val="1020"/>
        </w:numPr>
        <w:pStyle w:val="Compact"/>
      </w:pPr>
      <w:r>
        <w:rPr>
          <w:bCs/>
          <w:b/>
        </w:rPr>
        <w:t xml:space="preserve">Increase Renewable Energy Sourcing:</w:t>
      </w:r>
      <w:r>
        <w:t xml:space="preserve"> </w:t>
      </w:r>
      <w:r>
        <w:t xml:space="preserve">While</w:t>
      </w:r>
      <w:r>
        <w:t xml:space="preserve"> </w:t>
      </w:r>
      <w:r>
        <w:rPr>
          <w:bCs/>
          <w:b/>
        </w:rPr>
        <w:t xml:space="preserve">pmvjfehmip (70%)</w:t>
      </w:r>
      <w:r>
        <w:t xml:space="preserve"> </w:t>
      </w:r>
      <w:r>
        <w:t xml:space="preserve">renewable energy is commendable, exploring options to achieve 100% renewable energy for manufacturing in China (or other production sites) would drastically cut Scope 2 emissions. This could involve direct Power Purchase Agreements (PPAs) or investing in on-site renewables.</w:t>
      </w:r>
    </w:p>
    <w:p>
      <w:pPr>
        <w:numPr>
          <w:ilvl w:val="0"/>
          <w:numId w:val="1020"/>
        </w:numPr>
        <w:pStyle w:val="Compact"/>
      </w:pPr>
      <w:r>
        <w:rPr>
          <w:bCs/>
          <w:b/>
        </w:rPr>
        <w:t xml:space="preserve">Optimize Material Selection:</w:t>
      </w:r>
      <w:r>
        <w:t xml:space="preserve"> </w:t>
      </w:r>
      <w:r>
        <w:t xml:space="preserve">Continuously review the BOM (</w:t>
      </w:r>
      <w:r>
        <w:rPr>
          <w:bCs/>
          <w:b/>
        </w:rPr>
        <w:t xml:space="preserve">vlgzkggg</w:t>
      </w:r>
      <w:r>
        <w:t xml:space="preserve">) for opportunities to use lower-carbon intensity materials. Focus on materials like Aluminum (ID 1) that show higher emission factors.</w:t>
      </w:r>
    </w:p>
    <w:p>
      <w:pPr>
        <w:numPr>
          <w:ilvl w:val="0"/>
          <w:numId w:val="1020"/>
        </w:numPr>
        <w:pStyle w:val="Compact"/>
      </w:pPr>
      <w:r>
        <w:rPr>
          <w:bCs/>
          <w:b/>
        </w:rPr>
        <w:t xml:space="preserve">Supply Chain Engagement:</w:t>
      </w:r>
      <w:r>
        <w:t xml:space="preserve"> </w:t>
      </w:r>
      <w:r>
        <w:t xml:space="preserve">Work with suppliers to understand and reduce their own footprints, particularly for high-impact components. Encourage suppliers to provide product-specific PCFs.</w:t>
      </w:r>
    </w:p>
    <w:p>
      <w:pPr>
        <w:numPr>
          <w:ilvl w:val="0"/>
          <w:numId w:val="1020"/>
        </w:numPr>
        <w:pStyle w:val="Compact"/>
      </w:pPr>
      <w:r>
        <w:rPr>
          <w:bCs/>
          <w:b/>
        </w:rPr>
        <w:t xml:space="preserve">Logistics Optimization:</w:t>
      </w:r>
      <w:r>
        <w:t xml:space="preserve"> </w:t>
      </w:r>
      <w:r>
        <w:t xml:space="preserve">Explore more fuel-efficient transport modes, optimize routes and load factors for both inbound and outbound logistics, and investigate electric vehicle options for road and last-mile delivery.</w:t>
      </w:r>
    </w:p>
    <w:p>
      <w:pPr>
        <w:numPr>
          <w:ilvl w:val="0"/>
          <w:numId w:val="1020"/>
        </w:numPr>
        <w:pStyle w:val="Compact"/>
      </w:pPr>
      <w:r>
        <w:rPr>
          <w:bCs/>
          <w:b/>
        </w:rPr>
        <w:t xml:space="preserve">Strengthen Circularity:</w:t>
      </w:r>
      <w:r>
        <w:t xml:space="preserve"> </w:t>
      </w:r>
      <w:r>
        <w:t xml:space="preserve">Continue to promote and expand</w:t>
      </w:r>
      <w:r>
        <w:t xml:space="preserve"> </w:t>
      </w:r>
      <w:r>
        <w:rPr>
          <w:bCs/>
          <w:b/>
        </w:rPr>
        <w:t xml:space="preserve">evfonwdfdy (regional take-back programs)</w:t>
      </w:r>
      <w:r>
        <w:t xml:space="preserve"> </w:t>
      </w:r>
      <w:r>
        <w:t xml:space="preserve">to ensure high recycling rates and explore opportunities for repair, refurbishment, or remanufacturing to extend product lifespans and further minimize virgin material demand.</w:t>
      </w:r>
    </w:p>
    <w:p>
      <w:pPr>
        <w:pStyle w:val="FirstParagraph"/>
      </w:pPr>
      <w:r>
        <w:t xml:space="preserve">This report provides a foundational understanding of the carbon impact of</w:t>
      </w:r>
      <w:r>
        <w:t xml:space="preserve"> </w:t>
      </w:r>
      <w:r>
        <w:rPr>
          <w:bCs/>
          <w:b/>
        </w:rPr>
        <w:t xml:space="preserve">wxdyxokinq</w:t>
      </w:r>
      <w:r>
        <w:t xml:space="preserve"> </w:t>
      </w:r>
      <w:r>
        <w:t xml:space="preserve">and serves as a critical tool for strategic decision-making towards a more sustainable future for</w:t>
      </w:r>
      <w:r>
        <w:t xml:space="preserve"> </w:t>
      </w:r>
      <w:r>
        <w:rPr>
          <w:bCs/>
          <w:b/>
        </w:rPr>
        <w:t xml:space="preserve">dpykuemres</w:t>
      </w:r>
      <w:r>
        <w:t xml:space="preserve">. Ongoing monitoring and refinement of data will be essential for tracking progress against reduction targets.</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wxdyxokinq</dc:title>
  <dc:creator/>
  <dc:description>High-detail Product Carbon Footprint (PCF) analysis for product wxdyxokinq, conducted by Senior Sustainability Consultant shgtgdlejx according to GHG Protocol standards.</dc:description>
  <dc:language>en</dc:language>
  <cp:keywords/>
  <dcterms:created xsi:type="dcterms:W3CDTF">2026-07-15T15:38:26Z</dcterms:created>
  <dcterms:modified xsi:type="dcterms:W3CDTF">2026-07-15T15:38:26Z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