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wvvxknpypu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wvvxknpypu</w:t>
      </w:r>
    </w:p>
    <w:p>
      <w:pPr>
        <w:pStyle w:val="BodyText"/>
      </w:pPr>
      <w:r>
        <w:t xml:space="preserve">Company Name: mrlugdittp</w:t>
      </w:r>
    </w:p>
    <w:p>
      <w:pPr>
        <w:pStyle w:val="BodyText"/>
      </w:pPr>
      <w:r>
        <w:t xml:space="preserve">Protocol Data (Accounting Standard): GHG Protocol</w:t>
      </w:r>
    </w:p>
    <w:p>
      <w:pPr>
        <w:pStyle w:val="BodyText"/>
      </w:pPr>
      <w:r>
        <w:t xml:space="preserve">Senior Sustainability Consultant: mhehkyykjs</w:t>
      </w:r>
    </w:p>
    <w:p>
      <w:pPr>
        <w:pStyle w:val="BodyText"/>
      </w:pPr>
      <w:r>
        <w:t xml:space="preserve">Disclaimer: This report is generated based on available data and industry standards, providing an estimate of the Product Carbon Footprint. Actual emissions may vary based on dynamic operational parameters and data specificity.</w:t>
      </w:r>
    </w:p>
    <w:bookmarkEnd w:id="20"/>
    <w:p>
      <w:pPr>
        <w:pStyle w:val="BodyText"/>
      </w:pPr>
      <w:r>
        <w:t xml:space="preserve">Product Carbon Footprint Analysis Report - wvvxknpypu | Generated Date: June 2, 2026</w:t>
      </w:r>
    </w:p>
    <w:bookmarkStart w:id="5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wvvxknpypu</w:t>
      </w:r>
      <w:r>
        <w:t xml:space="preserve">, manufactured by</w:t>
      </w:r>
      <w:r>
        <w:t xml:space="preserve"> </w:t>
      </w:r>
      <w:r>
        <w:rPr>
          <w:bCs/>
          <w:b/>
        </w:rPr>
        <w:t xml:space="preserve">mrlugdittp</w:t>
      </w:r>
      <w:r>
        <w:t xml:space="preserve">. The analysis has been conducted by Senior Sustainability Consultant</w:t>
      </w:r>
      <w:r>
        <w:t xml:space="preserve"> </w:t>
      </w:r>
      <w:r>
        <w:rPr>
          <w:bCs/>
          <w:b/>
        </w:rPr>
        <w:t xml:space="preserve">mhehkyykjs</w:t>
      </w:r>
      <w:r>
        <w:t xml:space="preserve">, specializing in the GHG Protocol. The primary objective is to quantify the greenhouse gas (GHG) emissions associated with the product\'s lifecycle from a \'factory-gate\' system boundary. This assessment adheres strictly to the GHG Protocol\'s Product Standard, incorporating the latest 2026 Land Sector and Removals (LSR) Standard updates and aiming for a minimum of 95% Scope 3 coverage. By identifying emission hotspots across material sourcing, manufacturing, logistics, use, and end-of-life, this analysis provides a foundational understanding for targeted decarbonization strategies and enhanced sustainability performance.</w:t>
      </w:r>
    </w:p>
    <w:p>
      <w:r>
        <w:pict>
          <v:rect style="width:0;height:1.5pt" o:hralign="center" o:hrstd="t" o:hr="t"/>
        </w:pict>
      </w:r>
    </w:p>
    <w:bookmarkStart w:id="29" w:name="define-scope"/>
    <w:p>
      <w:pPr>
        <w:pStyle w:val="Heading2"/>
      </w:pPr>
      <w:r>
        <w:t xml:space="preserve">1. Define Scope</w:t>
      </w:r>
    </w:p>
    <w:p>
      <w:pPr>
        <w:pStyle w:val="FirstParagraph"/>
      </w:pPr>
      <w:r>
        <w:t xml:space="preserve">The initial phase of the Product Carbon Footprint (PCF) analysis involves clearly defining the parameters and boundaries of the assessment.</w:t>
      </w:r>
    </w:p>
    <w:bookmarkStart w:id="21"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wvvxknpypu</w:t>
      </w:r>
      <w:r>
        <w:t xml:space="preserve">. All emissions are quantified in relation to this single unit, allowing for comparability and scalability.</w:t>
      </w:r>
    </w:p>
    <w:bookmarkEnd w:id="21"/>
    <w:bookmarkStart w:id="22" w:name="system-boundary"/>
    <w:p>
      <w:pPr>
        <w:pStyle w:val="Heading3"/>
      </w:pPr>
      <w:r>
        <w:t xml:space="preserve">1.2. System Boundary</w:t>
      </w:r>
    </w:p>
    <w:p>
      <w:pPr>
        <w:pStyle w:val="FirstParagraph"/>
      </w:pPr>
      <w:r>
        <w:t xml:space="preserve">The chosen system boundary for this analysis is</w:t>
      </w:r>
      <w:r>
        <w:t xml:space="preserve"> </w:t>
      </w:r>
      <w:r>
        <w:rPr>
          <w:bCs/>
          <w:b/>
        </w:rPr>
        <w:t xml:space="preserve">"factory_gate"</w:t>
      </w:r>
      <w:r>
        <w:t xml:space="preserve">. This means the assessment covers all greenhouse gas (GHG) emissions from raw material extraction, through their processing, component manufacturing, and the final assembly of the product within the manufacturing facility, up to the point the finished product leaves the factory gate. It specifically includes all upstream (cradle-to-gate) emissions associated with purchased goods and services, energy consumption during production, and direct emissions from manufacturing processes.</w:t>
      </w:r>
      <w:r>
        <w:br/>
      </w:r>
      <w:r>
        <w:t xml:space="preserve">Emissions beyond the factory gate, such as distribution to the customer, the product\'s use phase, and its end-of-life treatment, are typically considered in a \'cradle-to-grave\' assessment. While the primary system boundary is \'factory_gate\', the subsequent sections of this report will also incorporate and estimate impacts for the \'Use Phase\' and \'End-of-Life\' scenarios as specifically requested by the parameters, extending the analysis beyond the strict factory gate for a more comprehensive view of the product\'s full lifecycle impact.</w:t>
      </w:r>
    </w:p>
    <w:bookmarkEnd w:id="22"/>
    <w:bookmarkStart w:id="23"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dictates the application of region-specific emission factors for energy grids, transportation, and material sourcing where available. For instance, electricity emission factors for China will be used for the manufacturing phase, while transportation routes will consider a focus on European supply chains.</w:t>
      </w:r>
    </w:p>
    <w:bookmarkEnd w:id="23"/>
    <w:bookmarkStart w:id="24" w:name="allocation-methodology"/>
    <w:p>
      <w:pPr>
        <w:pStyle w:val="Heading3"/>
      </w:pPr>
      <w:r>
        <w:t xml:space="preserve">1.4. Allocation Methodology</w:t>
      </w:r>
    </w:p>
    <w:p>
      <w:pPr>
        <w:pStyle w:val="FirstParagraph"/>
      </w:pPr>
      <w:r>
        <w:t xml:space="preserve">Emissions allocation is necessary when a single process generates multiple products (co-products or by-products). In line with GHG Protocol guidance, this analysis will apply standard allocation methodologies, primarily mass-based or economic allocation, where co-production occurs within the specified system boundary. The chosen method aims to ensure that emissions are distributed equitably among products based on a clear and justifiable principle, reflecting their proportional environmental burden.</w:t>
      </w:r>
    </w:p>
    <w:bookmarkEnd w:id="24"/>
    <w:bookmarkStart w:id="28" w:name="accounting-standard-ghg-protocol"/>
    <w:p>
      <w:pPr>
        <w:pStyle w:val="Heading3"/>
      </w:pPr>
      <w:r>
        <w:t xml:space="preserve">1.5. Accounting Standard: GHG Protocol</w:t>
      </w:r>
    </w:p>
    <w:p>
      <w:pPr>
        <w:pStyle w:val="FirstParagraph"/>
      </w:pPr>
      <w:r>
        <w:t xml:space="preserve">This Product Carbon Footprint analysis adheres strictly to the</w:t>
      </w:r>
      <w:r>
        <w:t xml:space="preserve"> </w:t>
      </w:r>
      <w:r>
        <w:rPr>
          <w:bCs/>
          <w:b/>
        </w:rPr>
        <w:t xml:space="preserve">GHG Protocol Product Life Cycle Accounting and Reporting Standard</w:t>
      </w:r>
      <w:r>
        <w:t xml:space="preserve">. The GHG Protocol provides the internationally recognized framework for measuring and reporting greenhouse gas emissions, ensuring consistency, transparency, and accuracy.</w:t>
      </w:r>
    </w:p>
    <w:bookmarkStart w:id="25" w:name="ghg-protocol-scopes"/>
    <w:p>
      <w:pPr>
        <w:pStyle w:val="Heading4"/>
      </w:pPr>
      <w:r>
        <w:t xml:space="preserve">1.5.1. GHG Protocol Scopes</w:t>
      </w:r>
    </w:p>
    <w:p>
      <w:pPr>
        <w:pStyle w:val="FirstParagraph"/>
      </w:pPr>
      <w:r>
        <w:t xml:space="preserve">Emissions are categorized into three scopes as per the GHG Protocol:</w:t>
      </w:r>
    </w:p>
    <w:p>
      <w:pPr>
        <w:numPr>
          <w:ilvl w:val="0"/>
          <w:numId w:val="1002"/>
        </w:numPr>
        <w:pStyle w:val="Compact"/>
      </w:pPr>
      <w:r>
        <w:rPr>
          <w:bCs/>
          <w:b/>
        </w:rPr>
        <w:t xml:space="preserve">Scope 1 (Direct Emissions):</w:t>
      </w:r>
      <w:r>
        <w:t xml:space="preserve"> </w:t>
      </w:r>
      <w:r>
        <w:t xml:space="preserve">GHG emissions from sources owned or controlled by</w:t>
      </w:r>
      <w:r>
        <w:t xml:space="preserve"> </w:t>
      </w:r>
      <w:r>
        <w:rPr>
          <w:bCs/>
          <w:b/>
        </w:rPr>
        <w:t xml:space="preserve">mrlugdittp</w:t>
      </w:r>
      <w:r>
        <w:t xml:space="preserve">. This includes direct emissions from fuel combustion in owned or controlled equipment (e.g., boilers, company vehicles) and process emissions from manufacturing activities within the factory_gate boundary.</w:t>
      </w:r>
    </w:p>
    <w:p>
      <w:pPr>
        <w:numPr>
          <w:ilvl w:val="0"/>
          <w:numId w:val="1002"/>
        </w:numPr>
        <w:pStyle w:val="Compact"/>
      </w:pPr>
      <w:r>
        <w:rPr>
          <w:bCs/>
          <w:b/>
        </w:rPr>
        <w:t xml:space="preserve">Scope 2 (Purchased Energy Emissions):</w:t>
      </w:r>
      <w:r>
        <w:t xml:space="preserve"> </w:t>
      </w:r>
      <w:r>
        <w:t xml:space="preserve">Indirect GHG emissions from the generation of purchased or acquired electricity, steam, heating, or cooling consumed by</w:t>
      </w:r>
      <w:r>
        <w:t xml:space="preserve"> </w:t>
      </w:r>
      <w:r>
        <w:rPr>
          <w:bCs/>
          <w:b/>
        </w:rPr>
        <w:t xml:space="preserve">mrlugdittp</w:t>
      </w:r>
      <w:r>
        <w:t xml:space="preserve">. For the production in China, specific grid emission factors for China will be applied.</w:t>
      </w:r>
    </w:p>
    <w:p>
      <w:pPr>
        <w:numPr>
          <w:ilvl w:val="0"/>
          <w:numId w:val="1002"/>
        </w:numPr>
        <w:pStyle w:val="Compact"/>
      </w:pPr>
      <w:r>
        <w:rPr>
          <w:bCs/>
          <w:b/>
        </w:rPr>
        <w:t xml:space="preserve">Scope 3 (Other Indirect Emissions / Value Chain Emissions):</w:t>
      </w:r>
      <w:r>
        <w:t xml:space="preserve"> </w:t>
      </w:r>
      <w:r>
        <w:t xml:space="preserve">All other indirect GHG emissions that occur in the value chain of</w:t>
      </w:r>
      <w:r>
        <w:t xml:space="preserve"> </w:t>
      </w:r>
      <w:r>
        <w:rPr>
          <w:bCs/>
          <w:b/>
        </w:rPr>
        <w:t xml:space="preserve">mrlugdittp</w:t>
      </w:r>
      <w:r>
        <w:t xml:space="preserve">, both upstream and downstream, not included in Scope 2. For a "factory_gate" boundary, primary focus is on upstream Scope 3, which includes purchased goods and services (raw materials, components), and upstream transportation and distribution.</w:t>
      </w:r>
      <w:r>
        <w:br/>
      </w:r>
      <w:r>
        <w:t xml:space="preserve">Key Scope 3 categories relevant to this PCF within a factory_gate boundary and extending to use and EoL include:</w:t>
      </w:r>
    </w:p>
    <w:p>
      <w:pPr>
        <w:numPr>
          <w:ilvl w:val="1"/>
          <w:numId w:val="1003"/>
        </w:numPr>
        <w:pStyle w:val="Compact"/>
      </w:pPr>
      <w:r>
        <w:t xml:space="preserve">Category 1: Purchased goods and services (raw materials, components).</w:t>
      </w:r>
    </w:p>
    <w:p>
      <w:pPr>
        <w:numPr>
          <w:ilvl w:val="1"/>
          <w:numId w:val="1003"/>
        </w:numPr>
        <w:pStyle w:val="Compact"/>
      </w:pPr>
      <w:r>
        <w:t xml:space="preserve">Category 4: Upstream transportation and distribution.</w:t>
      </w:r>
    </w:p>
    <w:p>
      <w:pPr>
        <w:numPr>
          <w:ilvl w:val="1"/>
          <w:numId w:val="1003"/>
        </w:numPr>
        <w:pStyle w:val="Compact"/>
      </w:pPr>
      <w:r>
        <w:t xml:space="preserve">Category 9: Downstream transportation and distribution (for outbound logistics).</w:t>
      </w:r>
    </w:p>
    <w:p>
      <w:pPr>
        <w:numPr>
          <w:ilvl w:val="1"/>
          <w:numId w:val="1003"/>
        </w:numPr>
        <w:pStyle w:val="Compact"/>
      </w:pPr>
      <w:r>
        <w:t xml:space="preserve">Category 11: Use of sold products.</w:t>
      </w:r>
    </w:p>
    <w:p>
      <w:pPr>
        <w:numPr>
          <w:ilvl w:val="1"/>
          <w:numId w:val="1003"/>
        </w:numPr>
        <w:pStyle w:val="Compact"/>
      </w:pPr>
      <w:r>
        <w:t xml:space="preserve">Category 12: End-of-life treatment of sold products.</w:t>
      </w:r>
    </w:p>
    <w:bookmarkEnd w:id="25"/>
    <w:bookmarkStart w:id="26" w:name="X504f4a86e01fdcfa46a4589bb1b5e0cfaad8629"/>
    <w:p>
      <w:pPr>
        <w:pStyle w:val="Heading4"/>
      </w:pPr>
      <w:r>
        <w:t xml:space="preserve">1.5.2. 2026 Land Sector and Removals (LSR) Standard Update</w:t>
      </w:r>
    </w:p>
    <w:p>
      <w:pPr>
        <w:pStyle w:val="FirstParagraph"/>
      </w:pPr>
      <w:r>
        <w:t xml:space="preserve">This analysis will apply the 2026 Land Sector and Removals (LSR) Standard for land use and carbon removals, effective January 1, 2027. The LSR Standard provides methods to quantify, report, and track land emissions, CO₂ removals, and other key metrics, including technological CO₂ removals. While the "factory_gate" boundary might typically limit direct land-use impacts, the LSR Standard\'s principles will be considered for any relevant biogenic carbon flows or land-use change impacts associated with the raw materials in the supply chain (Scope 3, Category 1). The accompanying guidance, expected in Q2 2026, will further inform practical implementation.</w:t>
      </w:r>
    </w:p>
    <w:bookmarkEnd w:id="26"/>
    <w:bookmarkStart w:id="27" w:name="scope-3-compliance-2026-requirements"/>
    <w:p>
      <w:pPr>
        <w:pStyle w:val="Heading4"/>
      </w:pPr>
      <w:r>
        <w:t xml:space="preserve">1.5.3. Scope 3 Compliance (2026 Requirements)</w:t>
      </w:r>
    </w:p>
    <w:p>
      <w:pPr>
        <w:pStyle w:val="FirstParagraph"/>
      </w:pPr>
      <w:r>
        <w:t xml:space="preserve">In line with 2026 requirements, this report ensures at least</w:t>
      </w:r>
      <w:r>
        <w:t xml:space="preserve"> </w:t>
      </w:r>
      <w:r>
        <w:rPr>
          <w:bCs/>
          <w:b/>
        </w:rPr>
        <w:t xml:space="preserve">95% coverage for Scope 3 reporting</w:t>
      </w:r>
      <w:r>
        <w:t xml:space="preserve">. This prescriptive completeness requirement mandates accounting for at least 95% of total required Scope 3 emissions, with exclusions not exceeding 5%, which must be quantified, disclosed, and justified. This level of coverage ensures a comprehensive understanding of the product\'s value chain emissions, moving away from selective reporting and enhancing data transparency and comparability.</w:t>
      </w:r>
    </w:p>
    <w:p>
      <w:r>
        <w:pict>
          <v:rect style="width:0;height:1.5pt" o:hralign="center" o:hrstd="t" o:hr="t"/>
        </w:pict>
      </w:r>
    </w:p>
    <w:bookmarkEnd w:id="27"/>
    <w:bookmarkEnd w:id="28"/>
    <w:bookmarkEnd w:id="29"/>
    <w:bookmarkStart w:id="36"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various life cycle stages of product</w:t>
      </w:r>
      <w:r>
        <w:t xml:space="preserve"> </w:t>
      </w:r>
      <w:r>
        <w:rPr>
          <w:bCs/>
          <w:b/>
        </w:rPr>
        <w:t xml:space="preserve">wvvxknpypu</w:t>
      </w:r>
      <w:r>
        <w:t xml:space="preserve"> </w:t>
      </w:r>
      <w:r>
        <w:t xml:space="preserve">and the data collection strategy, distinguishing between primary and secondary data. The lifecycle stages considered, extending beyond the strict factory gate to incorporate use and EoL as requested, include:</w:t>
      </w:r>
    </w:p>
    <w:p>
      <w:pPr>
        <w:numPr>
          <w:ilvl w:val="0"/>
          <w:numId w:val="1004"/>
        </w:numPr>
        <w:pStyle w:val="Compact"/>
      </w:pPr>
      <w:r>
        <w:rPr>
          <w:bCs/>
          <w:b/>
        </w:rPr>
        <w:t xml:space="preserve">Raw Material Extraction &amp; Processing:</w:t>
      </w:r>
      <w:r>
        <w:t xml:space="preserve"> </w:t>
      </w:r>
      <w:r>
        <w:t xml:space="preserve">Upstream activities for all components and materials.</w:t>
      </w:r>
    </w:p>
    <w:p>
      <w:pPr>
        <w:numPr>
          <w:ilvl w:val="0"/>
          <w:numId w:val="1004"/>
        </w:numPr>
        <w:pStyle w:val="Compact"/>
      </w:pPr>
      <w:r>
        <w:rPr>
          <w:bCs/>
          <w:b/>
        </w:rPr>
        <w:t xml:space="preserve">Manufacturing &amp; Assembly:</w:t>
      </w:r>
      <w:r>
        <w:t xml:space="preserve"> </w:t>
      </w:r>
      <w:r>
        <w:t xml:space="preserve">Production processes at</w:t>
      </w:r>
      <w:r>
        <w:t xml:space="preserve"> </w:t>
      </w:r>
      <w:r>
        <w:rPr>
          <w:bCs/>
          <w:b/>
        </w:rPr>
        <w:t xml:space="preserve">mrlugdittp</w:t>
      </w:r>
      <w:r>
        <w:t xml:space="preserve">\'s facility in China.</w:t>
      </w:r>
    </w:p>
    <w:p>
      <w:pPr>
        <w:numPr>
          <w:ilvl w:val="0"/>
          <w:numId w:val="1004"/>
        </w:numPr>
        <w:pStyle w:val="Compact"/>
      </w:pPr>
      <w:r>
        <w:rPr>
          <w:bCs/>
          <w:b/>
        </w:rPr>
        <w:t xml:space="preserve">Transportation &amp; Distribution:</w:t>
      </w:r>
      <w:r>
        <w:t xml:space="preserve"> </w:t>
      </w:r>
      <w:r>
        <w:t xml:space="preserve">Inbound logistics to the factory and outbound logistics to the customer.</w:t>
      </w:r>
    </w:p>
    <w:p>
      <w:pPr>
        <w:numPr>
          <w:ilvl w:val="0"/>
          <w:numId w:val="1004"/>
        </w:numPr>
        <w:pStyle w:val="Compact"/>
      </w:pPr>
      <w:r>
        <w:rPr>
          <w:bCs/>
          <w:b/>
        </w:rPr>
        <w:t xml:space="preserve">Use Phase:</w:t>
      </w:r>
      <w:r>
        <w:t xml:space="preserve"> </w:t>
      </w:r>
      <w:r>
        <w:t xml:space="preserve">Energy consumption and lifespan during the product\'s expected usage.</w:t>
      </w:r>
    </w:p>
    <w:p>
      <w:pPr>
        <w:numPr>
          <w:ilvl w:val="0"/>
          <w:numId w:val="1004"/>
        </w:numPr>
        <w:pStyle w:val="Compact"/>
      </w:pPr>
      <w:r>
        <w:rPr>
          <w:bCs/>
          <w:b/>
        </w:rPr>
        <w:t xml:space="preserve">End-of-Life (EoL):</w:t>
      </w:r>
      <w:r>
        <w:t xml:space="preserve"> </w:t>
      </w:r>
      <w:r>
        <w:t xml:space="preserve">Recycling, disposal, or other treatment scenarios.</w:t>
      </w:r>
    </w:p>
    <w:bookmarkStart w:id="30" w:name="detailed-bill-of-materials-bom-analysis"/>
    <w:p>
      <w:pPr>
        <w:pStyle w:val="Heading3"/>
      </w:pPr>
      <w:r>
        <w:t xml:space="preserve">3.1. Detailed Bill of Materials (BOM) Analysis</w:t>
      </w:r>
    </w:p>
    <w:p>
      <w:pPr>
        <w:pStyle w:val="FirstParagraph"/>
      </w:pPr>
      <w:r>
        <w:t xml:space="preserve">The provided Detailed Bill of Materials (BOM)</w:t>
      </w:r>
      <w:r>
        <w:t xml:space="preserve"> </w:t>
      </w:r>
      <w:r>
        <w:rPr>
          <w:bCs/>
          <w:b/>
        </w:rPr>
        <w:t xml:space="preserve">kjplpvgx</w:t>
      </w:r>
      <w:r>
        <w:t xml:space="preserve"> </w:t>
      </w:r>
      <w:r>
        <w:t xml:space="preserve">is crucial for high-accuracy material impact calculation. The BOM data is expected to follow the format: ID, Description, Category, Process, Qty, Unit, Emission Factor (kg CO2e/Unit), Total Carbon (kg CO2e).</w:t>
      </w:r>
    </w:p>
    <w:p>
      <w:pPr>
        <w:pStyle w:val="BodyText"/>
      </w:pPr>
      <w:r>
        <w:t xml:space="preserve">As the provided BOM is a placeholder string, an illustrative example of how such data would be integrated into the analysis is presented below. In a real scenario, the specific quantities and emission factors from</w:t>
      </w:r>
      <w:r>
        <w:t xml:space="preserve"> </w:t>
      </w:r>
      <w:r>
        <w:rPr>
          <w:bCs/>
          <w:b/>
        </w:rPr>
        <w:t xml:space="preserve">kjplpvgx</w:t>
      </w:r>
      <w:r>
        <w:t xml:space="preserve"> </w:t>
      </w:r>
      <w:r>
        <w:t xml:space="preserve">would be directly used for calculation. These emissions primarily fall under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 (Illustrative Ecoinvent)</w:t>
            </w:r>
          </w:p>
        </w:tc>
        <w:tc>
          <w:tcPr/>
          <w:p>
            <w:pPr>
              <w:pStyle w:val="Compact"/>
              <w:jc w:val="left"/>
            </w:pPr>
            <w:r>
              <w:t xml:space="preserve">3.75</w:t>
            </w:r>
          </w:p>
        </w:tc>
      </w:tr>
      <w:tr>
        <w:tc>
          <w:tcPr/>
          <w:p>
            <w:pPr>
              <w:pStyle w:val="Compact"/>
              <w:jc w:val="left"/>
            </w:pPr>
            <w:r>
              <w:t xml:space="preserve">P002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(Illustrative PlasticsEurope)</w:t>
            </w:r>
          </w:p>
        </w:tc>
        <w:tc>
          <w:tcPr/>
          <w:p>
            <w:pPr>
              <w:pStyle w:val="Compact"/>
              <w:jc w:val="left"/>
            </w:pPr>
            <w:r>
              <w:t xml:space="preserve">0.60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 (Illustrative Industry Avg)</w:t>
            </w:r>
          </w:p>
        </w:tc>
        <w:tc>
          <w:tcPr/>
          <w:p>
            <w:pPr>
              <w:pStyle w:val="Compact"/>
              <w:jc w:val="left"/>
            </w:pPr>
            <w:r>
              <w:t xml:space="preserve">1.20</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(Illustrative Industry Avg)</w:t>
            </w:r>
          </w:p>
        </w:tc>
        <w:tc>
          <w:tcPr/>
          <w:p>
            <w:pPr>
              <w:pStyle w:val="Compact"/>
              <w:jc w:val="left"/>
            </w:pPr>
            <w:r>
              <w:t xml:space="preserve">1.50</w:t>
            </w:r>
          </w:p>
        </w:tc>
      </w:tr>
      <w:tr>
        <w:tc>
          <w:tcPr/>
          <w:p>
            <w:pPr>
              <w:pStyle w:val="Compact"/>
              <w:jc w:val="left"/>
            </w:pPr>
            <w:r>
              <w:t xml:space="preserve">PK05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 (Illustrative DEFRA)</w:t>
            </w:r>
          </w:p>
        </w:tc>
        <w:tc>
          <w:tcPr/>
          <w:p>
            <w:pPr>
              <w:pStyle w:val="Compact"/>
              <w:jc w:val="left"/>
            </w:pPr>
            <w:r>
              <w:t xml:space="preserve">0.035</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7.085</w:t>
            </w:r>
          </w:p>
        </w:tc>
      </w:tr>
    </w:tbl>
    <w:p>
      <w:pPr>
        <w:pStyle w:val="BodyText"/>
      </w:pPr>
      <w:r>
        <w:rPr>
          <w:iCs/>
          <w:i/>
        </w:rPr>
        <w:t xml:space="preserve">Note: The "Emission Factor" and "Total Carbon" values in the table above are illustrative examples. In a live analysis, actual data from `kjplpvgx` would populate these fields.</w:t>
      </w:r>
    </w:p>
    <w:bookmarkEnd w:id="30"/>
    <w:bookmarkStart w:id="31" w:name="production-phase-data-scope-1-2"/>
    <w:p>
      <w:pPr>
        <w:pStyle w:val="Heading3"/>
      </w:pPr>
      <w:r>
        <w:t xml:space="preserve">3.2. Production Phase Data (Scope 1 &amp; 2)</w:t>
      </w:r>
    </w:p>
    <w:p>
      <w:pPr>
        <w:numPr>
          <w:ilvl w:val="0"/>
          <w:numId w:val="1005"/>
        </w:numPr>
      </w:pPr>
      <w:r>
        <w:rPr>
          <w:bCs/>
          <w:b/>
        </w:rPr>
        <w:t xml:space="preserve">Renewable Energy Usage:</w:t>
      </w:r>
      <w:r>
        <w:t xml:space="preserve"> </w:t>
      </w:r>
      <w:r>
        <w:rPr>
          <w:bCs/>
          <w:b/>
        </w:rPr>
        <w:t xml:space="preserve">nzvpvtejug</w:t>
      </w:r>
    </w:p>
    <w:p>
      <w:pPr>
        <w:numPr>
          <w:ilvl w:val="0"/>
          <w:numId w:val="1000"/>
        </w:numPr>
      </w:pPr>
      <w:r>
        <w:t xml:space="preserve">The percentage of renewable energy utilized in the production process will directly reduce Scope 2 emissions. If</w:t>
      </w:r>
      <w:r>
        <w:t xml:space="preserve"> </w:t>
      </w:r>
      <w:r>
        <w:rPr>
          <w:bCs/>
          <w:b/>
        </w:rPr>
        <w:t xml:space="preserve">nzvpvtejug</w:t>
      </w:r>
      <w:r>
        <w:t xml:space="preserve"> </w:t>
      </w:r>
      <w:r>
        <w:t xml:space="preserve">is a specific percentage, a market-based approach will apply a corresponding zero or low-carbon emission factor for that portion of electricity, while the remainder will use the location-based grid average for China.</w:t>
      </w:r>
    </w:p>
    <w:p>
      <w:pPr>
        <w:numPr>
          <w:ilvl w:val="0"/>
          <w:numId w:val="1005"/>
        </w:numPr>
      </w:pPr>
      <w:r>
        <w:rPr>
          <w:bCs/>
          <w:b/>
        </w:rPr>
        <w:t xml:space="preserve">Energy Intensity (kWh/unit):</w:t>
      </w:r>
      <w:r>
        <w:t xml:space="preserve"> </w:t>
      </w:r>
      <w:r>
        <w:rPr>
          <w:bCs/>
          <w:b/>
        </w:rPr>
        <w:t xml:space="preserve">xutuzmhdyz</w:t>
      </w:r>
    </w:p>
    <w:p>
      <w:pPr>
        <w:numPr>
          <w:ilvl w:val="0"/>
          <w:numId w:val="1000"/>
        </w:numPr>
      </w:pPr>
      <w:r>
        <w:t xml:space="preserve">This parameter represents the electricity consumed per functional unit during the manufacturing and assembly process. For calculation, this value (</w:t>
      </w:r>
      <w:r>
        <w:rPr>
          <w:bCs/>
          <w:b/>
        </w:rPr>
        <w:t xml:space="preserve">xutuzmhdyz</w:t>
      </w:r>
      <w:r>
        <w:t xml:space="preserve"> </w:t>
      </w:r>
      <w:r>
        <w:t xml:space="preserve">kWh/unit) will be multiplied by the relevant electricity emission factor for China\'s grid, adjusted for renewable energy usage.</w:t>
      </w:r>
      <w:r>
        <w:t xml:space="preserve"> </w:t>
      </w:r>
      <w:r>
        <w:t xml:space="preserve">For China\'s electricity grid, emission factors vary regionally, but a national average is approximately 0.556 kg CO2/kWh for CO2 only or 0.6835 tCO2e/MWh (0.6835 kg CO2e/kWh) for a life-cycle carbon emission factor.</w:t>
      </w:r>
    </w:p>
    <w:p>
      <w:pPr>
        <w:numPr>
          <w:ilvl w:val="0"/>
          <w:numId w:val="1005"/>
        </w:numPr>
        <w:pStyle w:val="Compact"/>
      </w:pPr>
      <w:r>
        <w:rPr>
          <w:bCs/>
          <w:b/>
        </w:rPr>
        <w:t xml:space="preserve">Direct Emissions (Scope 1):</w:t>
      </w:r>
      <w:r>
        <w:t xml:space="preserve"> </w:t>
      </w:r>
      <w:r>
        <w:t xml:space="preserve">Any on-site fuel combustion for heating, process steam, or owned vehicles at the factory in China would be collected. (No specific data provided, so assumed negligible for illustrative calculation or covered by general energy intensity if electric processes dominate).</w:t>
      </w:r>
    </w:p>
    <w:bookmarkEnd w:id="31"/>
    <w:bookmarkStart w:id="32" w:name="X594409b0919ad1862dff7c97e790ce0008595d5"/>
    <w:p>
      <w:pPr>
        <w:pStyle w:val="Heading3"/>
      </w:pPr>
      <w:r>
        <w:t xml:space="preserve">3.3. Transport &amp; Logistics Data (Scope 3, Categories 4 &amp; 9)</w:t>
      </w:r>
    </w:p>
    <w:p>
      <w:pPr>
        <w:numPr>
          <w:ilvl w:val="0"/>
          <w:numId w:val="1006"/>
        </w:numPr>
      </w:pPr>
      <w:r>
        <w:rPr>
          <w:bCs/>
          <w:b/>
        </w:rPr>
        <w:t xml:space="preserve">Transport Mode:</w:t>
      </w:r>
      <w:r>
        <w:t xml:space="preserve"> </w:t>
      </w:r>
      <w:r>
        <w:rPr>
          <w:bCs/>
          <w:b/>
        </w:rPr>
        <w:t xml:space="preserve">Select Mode</w:t>
      </w:r>
    </w:p>
    <w:p>
      <w:pPr>
        <w:numPr>
          <w:ilvl w:val="0"/>
          <w:numId w:val="1000"/>
        </w:numPr>
      </w:pPr>
      <w:r>
        <w:t xml:space="preserve">The specified transport mode (`Select Mode`) will be used to determine the appropriate emission factor for both inbound (raw materials to factory) and outbound (finished product from factory) logistics. Without a specific mode, for illustrative purposes, typical road freight emission factors for Europe (for supply chain focus) would be considered.</w:t>
      </w:r>
    </w:p>
    <w:p>
      <w:pPr>
        <w:numPr>
          <w:ilvl w:val="0"/>
          <w:numId w:val="1006"/>
        </w:numPr>
      </w:pPr>
      <w:r>
        <w:rPr>
          <w:bCs/>
          <w:b/>
        </w:rPr>
        <w:t xml:space="preserve">Transport Distance:</w:t>
      </w:r>
      <w:r>
        <w:t xml:space="preserve"> </w:t>
      </w:r>
      <w:r>
        <w:rPr>
          <w:bCs/>
          <w:b/>
        </w:rPr>
        <w:t xml:space="preserve">dwhkglkzwn</w:t>
      </w:r>
    </w:p>
    <w:p>
      <w:pPr>
        <w:numPr>
          <w:ilvl w:val="0"/>
          <w:numId w:val="1000"/>
        </w:numPr>
      </w:pPr>
      <w:r>
        <w:t xml:space="preserve">The transport distance (</w:t>
      </w:r>
      <w:r>
        <w:rPr>
          <w:bCs/>
          <w:b/>
        </w:rPr>
        <w:t xml:space="preserve">dwhkglkzwn</w:t>
      </w:r>
      <w:r>
        <w:t xml:space="preserve">) is a critical input. This distance, combined with the transport mode and product mass/volume, will quantify transport emissions.</w:t>
      </w:r>
    </w:p>
    <w:p>
      <w:pPr>
        <w:numPr>
          <w:ilvl w:val="0"/>
          <w:numId w:val="1006"/>
        </w:numPr>
      </w:pPr>
      <w:r>
        <w:rPr>
          <w:bCs/>
          <w:b/>
        </w:rPr>
        <w:t xml:space="preserve">Last-Mile Delivery Channel:</w:t>
      </w:r>
      <w:r>
        <w:t xml:space="preserve"> </w:t>
      </w:r>
      <w:r>
        <w:rPr>
          <w:bCs/>
          <w:b/>
        </w:rPr>
        <w:t xml:space="preserve">Delivery Type</w:t>
      </w:r>
    </w:p>
    <w:p>
      <w:pPr>
        <w:numPr>
          <w:ilvl w:val="0"/>
          <w:numId w:val="1000"/>
        </w:numPr>
      </w:pPr>
      <w:r>
        <w:t xml:space="preserve">The \'Delivery Type\' for last-mile delivery will influence the final distribution emissions (Scope 3, Category 9). Different delivery channels (e.g., courier van, postal service) have varying emission intensities, which would be accounted for using relevant emission factors.</w:t>
      </w:r>
    </w:p>
    <w:bookmarkEnd w:id="32"/>
    <w:bookmarkStart w:id="33" w:name="use-phase-data-scope-3-category-11"/>
    <w:p>
      <w:pPr>
        <w:pStyle w:val="Heading3"/>
      </w:pPr>
      <w:r>
        <w:t xml:space="preserve">3.4. Use Phase Data (Scope 3, Category 11)</w:t>
      </w:r>
    </w:p>
    <w:p>
      <w:pPr>
        <w:pStyle w:val="FirstParagraph"/>
      </w:pPr>
      <w:r>
        <w:t xml:space="preserve">The use phase impact is expanded using specific durability and consumption data:</w:t>
      </w:r>
    </w:p>
    <w:p>
      <w:pPr>
        <w:numPr>
          <w:ilvl w:val="0"/>
          <w:numId w:val="1007"/>
        </w:numPr>
      </w:pPr>
      <w:r>
        <w:rPr>
          <w:bCs/>
          <w:b/>
        </w:rPr>
        <w:t xml:space="preserve">Product Lifespan:</w:t>
      </w:r>
      <w:r>
        <w:t xml:space="preserve"> </w:t>
      </w:r>
      <w:r>
        <w:rPr>
          <w:bCs/>
          <w:b/>
        </w:rPr>
        <w:t xml:space="preserve">llsoyghtpl</w:t>
      </w:r>
    </w:p>
    <w:p>
      <w:pPr>
        <w:numPr>
          <w:ilvl w:val="0"/>
          <w:numId w:val="1000"/>
        </w:numPr>
      </w:pPr>
      <w:r>
        <w:t xml:space="preserve">The expected lifespan of the product (</w:t>
      </w:r>
      <w:r>
        <w:rPr>
          <w:bCs/>
          <w:b/>
        </w:rPr>
        <w:t xml:space="preserve">llsoyghtpl</w:t>
      </w:r>
      <w:r>
        <w:t xml:space="preserve">) is crucial for normalizing annual energy consumption over the product\'s lifetime.</w:t>
      </w:r>
    </w:p>
    <w:p>
      <w:pPr>
        <w:numPr>
          <w:ilvl w:val="0"/>
          <w:numId w:val="1007"/>
        </w:numPr>
      </w:pPr>
      <w:r>
        <w:rPr>
          <w:bCs/>
          <w:b/>
        </w:rPr>
        <w:t xml:space="preserve">Energy Consumption in Use:</w:t>
      </w:r>
      <w:r>
        <w:t xml:space="preserve"> </w:t>
      </w:r>
      <w:r>
        <w:rPr>
          <w:bCs/>
          <w:b/>
        </w:rPr>
        <w:t xml:space="preserve">devmijumht</w:t>
      </w:r>
    </w:p>
    <w:p>
      <w:pPr>
        <w:numPr>
          <w:ilvl w:val="0"/>
          <w:numId w:val="1000"/>
        </w:numPr>
      </w:pPr>
      <w:r>
        <w:t xml:space="preserve">This parameter (</w:t>
      </w:r>
      <w:r>
        <w:rPr>
          <w:bCs/>
          <w:b/>
        </w:rPr>
        <w:t xml:space="preserve">devmijumht</w:t>
      </w:r>
      <w:r>
        <w:t xml:space="preserve">) represents the energy consumed by the product during its usage over its lifespan. This will be multiplied by an appropriate regional electricity mix emission factor for the end-user location (not specified, but often assumed as global average or target market\'s grid mix if known).</w:t>
      </w:r>
    </w:p>
    <w:bookmarkEnd w:id="33"/>
    <w:bookmarkStart w:id="34" w:name="X3261202975bfccb1283f2bd5fabef2dfdbe9c90"/>
    <w:p>
      <w:pPr>
        <w:pStyle w:val="Heading3"/>
      </w:pPr>
      <w:r>
        <w:t xml:space="preserve">3.5. End-of-Life (EoL) Scenarios (Scope 3, Category 12)</w:t>
      </w:r>
    </w:p>
    <w:p>
      <w:pPr>
        <w:pStyle w:val="FirstParagraph"/>
      </w:pPr>
      <w:r>
        <w:t xml:space="preserve">End-of-Life scenarios reflect circular economy impacts:</w:t>
      </w:r>
    </w:p>
    <w:p>
      <w:pPr>
        <w:numPr>
          <w:ilvl w:val="0"/>
          <w:numId w:val="1008"/>
        </w:numPr>
      </w:pPr>
      <w:r>
        <w:rPr>
          <w:bCs/>
          <w:b/>
        </w:rPr>
        <w:t xml:space="preserve">Recyclability Percentage:</w:t>
      </w:r>
      <w:r>
        <w:t xml:space="preserve"> </w:t>
      </w:r>
      <w:r>
        <w:rPr>
          <w:bCs/>
          <w:b/>
        </w:rPr>
        <w:t xml:space="preserve">zyimezjmrp</w:t>
      </w:r>
    </w:p>
    <w:p>
      <w:pPr>
        <w:numPr>
          <w:ilvl w:val="0"/>
          <w:numId w:val="1000"/>
        </w:numPr>
      </w:pPr>
      <w:r>
        <w:t xml:space="preserve">The stated recyclability percentage (</w:t>
      </w:r>
      <w:r>
        <w:rPr>
          <w:bCs/>
          <w:b/>
        </w:rPr>
        <w:t xml:space="preserve">zyimezjmrp</w:t>
      </w:r>
      <w:r>
        <w:t xml:space="preserve">) directly impacts the emissions associated with end-of-life. A higher recyclability rate reduces the burden of virgin material production and waste disposal, with credits often applied for recycled content replacing virgin materials.</w:t>
      </w:r>
    </w:p>
    <w:p>
      <w:pPr>
        <w:numPr>
          <w:ilvl w:val="0"/>
          <w:numId w:val="1008"/>
        </w:numPr>
      </w:pPr>
      <w:r>
        <w:rPr>
          <w:bCs/>
          <w:b/>
        </w:rPr>
        <w:t xml:space="preserve">Circular/Take-back Programs:</w:t>
      </w:r>
      <w:r>
        <w:t xml:space="preserve"> </w:t>
      </w:r>
      <w:r>
        <w:rPr>
          <w:bCs/>
          <w:b/>
        </w:rPr>
        <w:t xml:space="preserve">limmuffmpk</w:t>
      </w:r>
    </w:p>
    <w:p>
      <w:pPr>
        <w:numPr>
          <w:ilvl w:val="0"/>
          <w:numId w:val="1000"/>
        </w:numPr>
      </w:pPr>
      <w:r>
        <w:t xml:space="preserve">The existence of circular/take-back programs (</w:t>
      </w:r>
      <w:r>
        <w:rPr>
          <w:bCs/>
          <w:b/>
        </w:rPr>
        <w:t xml:space="preserve">limmuffmpk</w:t>
      </w:r>
      <w:r>
        <w:t xml:space="preserve">) indicates a commitment to extending product life and responsible disposal. Emissions reductions can be attributed to reuse, refurbishment, or high-value recycling pathways enabled by such programs.</w:t>
      </w:r>
    </w:p>
    <w:bookmarkEnd w:id="34"/>
    <w:bookmarkStart w:id="35" w:name="X509a33d62c35e311fa447d16ebf19bf34fc1817"/>
    <w:p>
      <w:pPr>
        <w:pStyle w:val="Heading3"/>
      </w:pPr>
      <w:r>
        <w:t xml:space="preserve">3.6. Data Collection: Primary vs. Secondary Data</w:t>
      </w:r>
    </w:p>
    <w:p>
      <w:pPr>
        <w:pStyle w:val="FirstParagraph"/>
      </w:pPr>
      <w:r>
        <w:t xml:space="preserve">The GHG Protocol emphasizes the importance of data quality.</w:t>
      </w:r>
    </w:p>
    <w:p>
      <w:pPr>
        <w:numPr>
          <w:ilvl w:val="0"/>
          <w:numId w:val="1009"/>
        </w:numPr>
        <w:pStyle w:val="Compact"/>
      </w:pPr>
      <w:r>
        <w:rPr>
          <w:bCs/>
          <w:b/>
        </w:rPr>
        <w:t xml:space="preserve">Primary Data:</w:t>
      </w:r>
      <w:r>
        <w:t xml:space="preserve"> </w:t>
      </w:r>
      <w:r>
        <w:t xml:space="preserve">Data directly from specific activities within</w:t>
      </w:r>
      <w:r>
        <w:t xml:space="preserve"> </w:t>
      </w:r>
      <w:r>
        <w:rPr>
          <w:bCs/>
          <w:b/>
        </w:rPr>
        <w:t xml:space="preserve">mrlugdittp</w:t>
      </w:r>
      <w:r>
        <w:t xml:space="preserve">\'s value chain, such as actual energy consumption records, supplier-specific emission factors for materials (from</w:t>
      </w:r>
      <w:r>
        <w:t xml:space="preserve"> </w:t>
      </w:r>
      <w:r>
        <w:rPr>
          <w:bCs/>
          <w:b/>
        </w:rPr>
        <w:t xml:space="preserve">kjplpvgx</w:t>
      </w:r>
      <w:r>
        <w:t xml:space="preserve">), and precise transport distances. This type of data offers the highest accuracy.</w:t>
      </w:r>
    </w:p>
    <w:p>
      <w:pPr>
        <w:numPr>
          <w:ilvl w:val="0"/>
          <w:numId w:val="1009"/>
        </w:numPr>
        <w:pStyle w:val="Compact"/>
      </w:pPr>
      <w:r>
        <w:rPr>
          <w:bCs/>
          <w:b/>
        </w:rPr>
        <w:t xml:space="preserve">Secondary Data:</w:t>
      </w:r>
      <w:r>
        <w:t xml:space="preserve"> </w:t>
      </w:r>
      <w:r>
        <w:t xml:space="preserve">Where primary data is unavailable or impractical to collect, industry-average data, published databases (e.g., Ecoinvent, DEFRA), government statistics, or proxy data will be utilized for emission factors related to generic processes, energy mixes, and transport types. This approach ensures completeness, especially for upstream Scope 3 categories where direct supplier data can be challenging to obtain.</w:t>
      </w:r>
    </w:p>
    <w:p>
      <w:pPr>
        <w:pStyle w:val="FirstParagraph"/>
      </w:pPr>
      <w:r>
        <w:t xml:space="preserve">For this report, while `kjplpvgx` provides the structure for primary material data, for other aspects like transport modes (if generic) and grid electricity, secondary data sources will be referenced. The 2026 Scope 3 revisions will require disaggregation of emissions data by type (primary vs. secondary) to improve transparency.</w:t>
      </w:r>
    </w:p>
    <w:p>
      <w:r>
        <w:pict>
          <v:rect style="width:0;height:1.5pt" o:hralign="center" o:hrstd="t" o:hr="t"/>
        </w:pict>
      </w:r>
    </w:p>
    <w:bookmarkEnd w:id="35"/>
    <w:bookmarkEnd w:id="36"/>
    <w:bookmarkStart w:id="46" w:name="calculate-emissions"/>
    <w:p>
      <w:pPr>
        <w:pStyle w:val="Heading2"/>
      </w:pPr>
      <w:r>
        <w:t xml:space="preserve">4. Calculate Emissions</w:t>
      </w:r>
    </w:p>
    <w:p>
      <w:pPr>
        <w:pStyle w:val="FirstParagraph"/>
      </w:pPr>
      <w:r>
        <w:t xml:space="preserve">Emissions are calculated using the general formula: Activity Data × Emission Factor = CO2e. All greenhouse gas (GHG) emissions (CO₂, CH₄, N₂O, HFCs, PFCs, SF₆, NF₃) are converted to a single unit of Carbon Dioxide Equivalent (CO2e) using their respective Global Warming Potentials (GWPs) from the IPCC\'s Fifth Assessment Report (AR5) or latest available, to allow for summation and comparison.</w:t>
      </w:r>
    </w:p>
    <w:p>
      <w:pPr>
        <w:pStyle w:val="BodyText"/>
      </w:pPr>
      <w:r>
        <w:t xml:space="preserve">Industry-standard emission factors from reputable databases such as Ecoinvent and DEFRA will be applied where specific data is not available from the provided parameters.</w:t>
      </w:r>
    </w:p>
    <w:bookmarkStart w:id="37" w:name="X3d3fa133f877c9664792374b079d31d45394724"/>
    <w:p>
      <w:pPr>
        <w:pStyle w:val="Heading3"/>
      </w:pPr>
      <w:r>
        <w:t xml:space="preserve">4.1. Scope 1 Emissions Calculation (Illustrative)</w:t>
      </w:r>
    </w:p>
    <w:p>
      <w:pPr>
        <w:pStyle w:val="FirstParagraph"/>
      </w:pPr>
      <w:r>
        <w:t xml:space="preserve">Assuming minor direct emissions within the factory_gate boundary for</w:t>
      </w:r>
      <w:r>
        <w:t xml:space="preserve"> </w:t>
      </w:r>
      <w:r>
        <w:rPr>
          <w:bCs/>
          <w:b/>
        </w:rPr>
        <w:t xml:space="preserve">mrlugdittp</w:t>
      </w:r>
      <w:r>
        <w:t xml:space="preserve">, for example, from a small amount of fuel for internal logistics or minor process emissions.</w:t>
      </w:r>
    </w:p>
    <w:p>
      <w:pPr>
        <w:numPr>
          <w:ilvl w:val="0"/>
          <w:numId w:val="1010"/>
        </w:numPr>
        <w:pStyle w:val="Compact"/>
      </w:pPr>
      <w:r>
        <w:rPr>
          <w:bCs/>
          <w:b/>
        </w:rPr>
        <w:t xml:space="preserve">Activity Data:</w:t>
      </w:r>
      <w:r>
        <w:t xml:space="preserve"> </w:t>
      </w:r>
      <w:r>
        <w:t xml:space="preserve">100 liters of diesel for forklift operation.</w:t>
      </w:r>
    </w:p>
    <w:p>
      <w:pPr>
        <w:numPr>
          <w:ilvl w:val="0"/>
          <w:numId w:val="1010"/>
        </w:numPr>
        <w:pStyle w:val="Compact"/>
      </w:pPr>
      <w:r>
        <w:rPr>
          <w:bCs/>
          <w:b/>
        </w:rPr>
        <w:t xml:space="preserve">Emission Factor (Illustrative DEFRA/Ecoinvent for diesel):</w:t>
      </w:r>
      <w:r>
        <w:t xml:space="preserve"> </w:t>
      </w:r>
      <w:r>
        <w:t xml:space="preserve">~2.68 kg CO2e/liter.</w:t>
      </w:r>
    </w:p>
    <w:p>
      <w:pPr>
        <w:numPr>
          <w:ilvl w:val="0"/>
          <w:numId w:val="1010"/>
        </w:numPr>
        <w:pStyle w:val="Compact"/>
      </w:pPr>
      <w:r>
        <w:rPr>
          <w:bCs/>
          <w:b/>
        </w:rPr>
        <w:t xml:space="preserve">Calculation:</w:t>
      </w:r>
      <w:r>
        <w:t xml:space="preserve"> </w:t>
      </w:r>
      <w:r>
        <w:t xml:space="preserve">100 liters * 2.68 kg CO2e/liter = 268 kg CO2e.</w:t>
      </w:r>
    </w:p>
    <w:p>
      <w:pPr>
        <w:pStyle w:val="FirstParagraph"/>
      </w:pPr>
      <w:r>
        <w:rPr>
          <w:bCs/>
          <w:b/>
        </w:rPr>
        <w:t xml:space="preserve">Illustrative Scope 1 Total: 268 kg CO2e</w:t>
      </w:r>
    </w:p>
    <w:bookmarkEnd w:id="37"/>
    <w:bookmarkStart w:id="38" w:name="Xe13f36b8e85aa74e0e1980d29027c90c0b04cd6"/>
    <w:p>
      <w:pPr>
        <w:pStyle w:val="Heading3"/>
      </w:pPr>
      <w:r>
        <w:t xml:space="preserve">4.2. Scope 2 Emissions Calculation (Illustrative)</w:t>
      </w:r>
    </w:p>
    <w:p>
      <w:pPr>
        <w:pStyle w:val="FirstParagraph"/>
      </w:pPr>
      <w:r>
        <w:t xml:space="preserve">Based on the provided energy intensity and renewable energy usage:</w:t>
      </w:r>
    </w:p>
    <w:p>
      <w:pPr>
        <w:numPr>
          <w:ilvl w:val="0"/>
          <w:numId w:val="1011"/>
        </w:numPr>
        <w:pStyle w:val="Compact"/>
      </w:pPr>
      <w:r>
        <w:rPr>
          <w:bCs/>
          <w:b/>
        </w:rPr>
        <w:t xml:space="preserve">Energy Intensity:</w:t>
      </w:r>
      <w:r>
        <w:t xml:space="preserve"> </w:t>
      </w:r>
      <w:r>
        <w:rPr>
          <w:bCs/>
          <w:b/>
        </w:rPr>
        <w:t xml:space="preserve">xutuzmhdyz</w:t>
      </w:r>
      <w:r>
        <w:t xml:space="preserve"> </w:t>
      </w:r>
      <w:r>
        <w:t xml:space="preserve">kWh/unit (e.g., assume 10 kWh/unit for illustration).</w:t>
      </w:r>
    </w:p>
    <w:p>
      <w:pPr>
        <w:numPr>
          <w:ilvl w:val="0"/>
          <w:numId w:val="1011"/>
        </w:numPr>
        <w:pStyle w:val="Compact"/>
      </w:pPr>
      <w:r>
        <w:rPr>
          <w:bCs/>
          <w:b/>
        </w:rPr>
        <w:t xml:space="preserve">Renewable Energy Usage:</w:t>
      </w:r>
      <w:r>
        <w:t xml:space="preserve"> </w:t>
      </w:r>
      <w:r>
        <w:rPr>
          <w:bCs/>
          <w:b/>
        </w:rPr>
        <w:t xml:space="preserve">nzvpvtejug</w:t>
      </w:r>
      <w:r>
        <w:t xml:space="preserve"> </w:t>
      </w:r>
      <w:r>
        <w:t xml:space="preserve">(e.g., assume 30% for illustration).</w:t>
      </w:r>
    </w:p>
    <w:p>
      <w:pPr>
        <w:numPr>
          <w:ilvl w:val="0"/>
          <w:numId w:val="1011"/>
        </w:numPr>
        <w:pStyle w:val="Compact"/>
      </w:pPr>
      <w:r>
        <w:rPr>
          <w:bCs/>
          <w:b/>
        </w:rPr>
        <w:t xml:space="preserve">Location-based Grid Emission Factor (China, illustrative national average):</w:t>
      </w:r>
      <w:r>
        <w:t xml:space="preserve"> </w:t>
      </w:r>
      <w:r>
        <w:t xml:space="preserve">~0.68 kg CO2e/kWh.</w:t>
      </w:r>
    </w:p>
    <w:p>
      <w:pPr>
        <w:numPr>
          <w:ilvl w:val="0"/>
          <w:numId w:val="1011"/>
        </w:numPr>
        <w:pStyle w:val="Compact"/>
      </w:pPr>
      <w:r>
        <w:rPr>
          <w:bCs/>
          <w:b/>
        </w:rPr>
        <w:t xml:space="preserve">Market-based Emission Factor (Renewable, illustrative):</w:t>
      </w:r>
      <w:r>
        <w:t xml:space="preserve"> </w:t>
      </w:r>
      <w:r>
        <w:t xml:space="preserve">0.0 kg CO2e/kWh.</w:t>
      </w:r>
    </w:p>
    <w:p>
      <w:pPr>
        <w:pStyle w:val="FirstParagraph"/>
      </w:pPr>
      <w:r>
        <w:rPr>
          <w:bCs/>
          <w:b/>
        </w:rPr>
        <w:t xml:space="preserve">Calculation:</w:t>
      </w:r>
    </w:p>
    <w:p>
      <w:pPr>
        <w:numPr>
          <w:ilvl w:val="0"/>
          <w:numId w:val="1012"/>
        </w:numPr>
        <w:pStyle w:val="Compact"/>
      </w:pPr>
      <w:r>
        <w:t xml:space="preserve">Non-renewable electricity: 10 kWh/unit * (1 - 0.30) * 0.68 kg CO2e/kWh = 4.76 kg CO2e/unit</w:t>
      </w:r>
    </w:p>
    <w:p>
      <w:pPr>
        <w:numPr>
          <w:ilvl w:val="0"/>
          <w:numId w:val="1012"/>
        </w:numPr>
        <w:pStyle w:val="Compact"/>
      </w:pPr>
      <w:r>
        <w:t xml:space="preserve">Renewable electricity: 10 kWh/unit * 0.30 * 0.0 kg CO2e/kWh = 0.0 kg CO2e/unit</w:t>
      </w:r>
    </w:p>
    <w:p>
      <w:pPr>
        <w:pStyle w:val="FirstParagraph"/>
      </w:pPr>
      <w:r>
        <w:rPr>
          <w:bCs/>
          <w:b/>
        </w:rPr>
        <w:t xml:space="preserve">Illustrative Scope 2 Total: 4.76 kg CO2e/unit</w:t>
      </w:r>
    </w:p>
    <w:bookmarkEnd w:id="38"/>
    <w:bookmarkStart w:id="44" w:name="X6d00e3b48dd698272a232970532dab9af39a62c"/>
    <w:p>
      <w:pPr>
        <w:pStyle w:val="Heading3"/>
      </w:pPr>
      <w:r>
        <w:t xml:space="preserve">4.3. Scope 3 Emissions Calculation (Illustrative)</w:t>
      </w:r>
    </w:p>
    <w:bookmarkStart w:id="39" w:name="X218d26cd9d06737c5c13adcb911fecb5adcc085"/>
    <w:p>
      <w:pPr>
        <w:pStyle w:val="Heading4"/>
      </w:pPr>
      <w:r>
        <w:t xml:space="preserve">4.3.1. Category 1: Purchased Goods and Services (Materials from BOM)</w:t>
      </w:r>
    </w:p>
    <w:p>
      <w:pPr>
        <w:pStyle w:val="FirstParagraph"/>
      </w:pPr>
      <w:r>
        <w:t xml:space="preserve">Using the illustrative BOM data:</w:t>
      </w:r>
    </w:p>
    <w:p>
      <w:pPr>
        <w:numPr>
          <w:ilvl w:val="0"/>
          <w:numId w:val="1013"/>
        </w:numPr>
        <w:pStyle w:val="Compact"/>
      </w:pPr>
      <w:r>
        <w:rPr>
          <w:bCs/>
          <w:b/>
        </w:rPr>
        <w:t xml:space="preserve">Total Material Carbon Footprint (Illustrative):</w:t>
      </w:r>
      <w:r>
        <w:t xml:space="preserve"> </w:t>
      </w:r>
      <w:r>
        <w:t xml:space="preserve">7.085 kg CO2e/unit (from BOM table).</w:t>
      </w:r>
    </w:p>
    <w:p>
      <w:pPr>
        <w:pStyle w:val="FirstParagraph"/>
      </w:pPr>
      <w:r>
        <w:rPr>
          <w:bCs/>
          <w:b/>
        </w:rPr>
        <w:t xml:space="preserve">Illustrative Scope 3 (Category 1) Total: 7.085 kg CO2e/unit</w:t>
      </w:r>
    </w:p>
    <w:bookmarkEnd w:id="39"/>
    <w:bookmarkStart w:id="40" w:name="X81feec90b8b7c9bf2c1f14d160bff67351c8b71"/>
    <w:p>
      <w:pPr>
        <w:pStyle w:val="Heading4"/>
      </w:pPr>
      <w:r>
        <w:t xml:space="preserve">4.3.2. Category 4: Upstream Transportation and Distribution (Inbound Logistics)</w:t>
      </w:r>
    </w:p>
    <w:p>
      <w:pPr>
        <w:pStyle w:val="FirstParagraph"/>
      </w:pPr>
      <w:r>
        <w:t xml:space="preserve">Assuming raw materials are transported to the China factory from Europe.</w:t>
      </w:r>
    </w:p>
    <w:p>
      <w:pPr>
        <w:numPr>
          <w:ilvl w:val="0"/>
          <w:numId w:val="1014"/>
        </w:numPr>
        <w:pStyle w:val="Compact"/>
      </w:pPr>
      <w:r>
        <w:rPr>
          <w:bCs/>
          <w:b/>
        </w:rPr>
        <w:t xml:space="preserve">Transport Mode:</w:t>
      </w:r>
      <w:r>
        <w:t xml:space="preserve"> </w:t>
      </w:r>
      <w:r>
        <w:rPr>
          <w:bCs/>
          <w:b/>
        </w:rPr>
        <w:t xml:space="preserve">Select Mode</w:t>
      </w:r>
      <w:r>
        <w:t xml:space="preserve"> </w:t>
      </w:r>
      <w:r>
        <w:t xml:space="preserve">(e.g., Road freight, articulated lorry).</w:t>
      </w:r>
    </w:p>
    <w:p>
      <w:pPr>
        <w:numPr>
          <w:ilvl w:val="0"/>
          <w:numId w:val="1014"/>
        </w:numPr>
        <w:pStyle w:val="Compact"/>
      </w:pPr>
      <w:r>
        <w:rPr>
          <w:bCs/>
          <w:b/>
        </w:rPr>
        <w:t xml:space="preserve">Transport Distance (Illustrative portion of dwhkglkzwn):</w:t>
      </w:r>
      <w:r>
        <w:t xml:space="preserve"> </w:t>
      </w:r>
      <w:r>
        <w:t xml:space="preserve">2,000 km.</w:t>
      </w:r>
    </w:p>
    <w:p>
      <w:pPr>
        <w:numPr>
          <w:ilvl w:val="0"/>
          <w:numId w:val="1014"/>
        </w:numPr>
        <w:pStyle w:val="Compact"/>
      </w:pPr>
      <w:r>
        <w:rPr>
          <w:bCs/>
          <w:b/>
        </w:rPr>
        <w:t xml:space="preserve">Product Weight (Illustrative for materials):</w:t>
      </w:r>
      <w:r>
        <w:t xml:space="preserve"> </w:t>
      </w:r>
      <w:r>
        <w:t xml:space="preserve">1.0 kg/unit.</w:t>
      </w:r>
    </w:p>
    <w:p>
      <w:pPr>
        <w:numPr>
          <w:ilvl w:val="0"/>
          <w:numId w:val="1014"/>
        </w:numPr>
        <w:pStyle w:val="Compact"/>
      </w:pPr>
      <w:r>
        <w:rPr>
          <w:bCs/>
          <w:b/>
        </w:rPr>
        <w:t xml:space="preserve">Emission Factor (Illustrative Road Freight, Europe):</w:t>
      </w:r>
      <w:r>
        <w:t xml:space="preserve"> </w:t>
      </w:r>
      <w:r>
        <w:t xml:space="preserve">~0.09 kg CO2e/tonne-km.</w:t>
      </w:r>
    </w:p>
    <w:p>
      <w:pPr>
        <w:pStyle w:val="FirstParagraph"/>
      </w:pPr>
      <w:r>
        <w:rPr>
          <w:bCs/>
          <w:b/>
        </w:rPr>
        <w:t xml:space="preserve">Calculation:</w:t>
      </w:r>
      <w:r>
        <w:t xml:space="preserve"> </w:t>
      </w:r>
      <w:r>
        <w:t xml:space="preserve">1.0 kg/unit * (1 tonne / 1000 kg) * 2000 km * 0.09 kg CO2e/tonne-km = 0.18 kg CO2e/unit.</w:t>
      </w:r>
    </w:p>
    <w:p>
      <w:pPr>
        <w:pStyle w:val="BodyText"/>
      </w:pPr>
      <w:r>
        <w:rPr>
          <w:bCs/>
          <w:b/>
        </w:rPr>
        <w:t xml:space="preserve">Illustrative Scope 3 (Category 4) Total: 0.18 kg CO2e/unit</w:t>
      </w:r>
    </w:p>
    <w:bookmarkEnd w:id="40"/>
    <w:bookmarkStart w:id="41" w:name="Xac18753d387a1b1ccaf30ef3e698bca81864949"/>
    <w:p>
      <w:pPr>
        <w:pStyle w:val="Heading4"/>
      </w:pPr>
      <w:r>
        <w:t xml:space="preserve">4.3.3. Category 9: Downstream Transportation and Distribution (Outbound Logistics)</w:t>
      </w:r>
    </w:p>
    <w:p>
      <w:pPr>
        <w:pStyle w:val="FirstParagraph"/>
      </w:pPr>
      <w:r>
        <w:t xml:space="preserve">Assuming finished product from China factory to European distribution center, and then last-mile delivery.</w:t>
      </w:r>
    </w:p>
    <w:p>
      <w:pPr>
        <w:numPr>
          <w:ilvl w:val="0"/>
          <w:numId w:val="1015"/>
        </w:numPr>
        <w:pStyle w:val="Compact"/>
      </w:pPr>
      <w:r>
        <w:rPr>
          <w:bCs/>
          <w:b/>
        </w:rPr>
        <w:t xml:space="preserve">Transport Mode (main):</w:t>
      </w:r>
      <w:r>
        <w:t xml:space="preserve"> </w:t>
      </w:r>
      <w:r>
        <w:rPr>
          <w:bCs/>
          <w:b/>
        </w:rPr>
        <w:t xml:space="preserve">Select Mode</w:t>
      </w:r>
      <w:r>
        <w:t xml:space="preserve"> </w:t>
      </w:r>
      <w:r>
        <w:t xml:space="preserve">(e.g., Ocean freight).</w:t>
      </w:r>
    </w:p>
    <w:p>
      <w:pPr>
        <w:numPr>
          <w:ilvl w:val="0"/>
          <w:numId w:val="1015"/>
        </w:numPr>
        <w:pStyle w:val="Compact"/>
      </w:pPr>
      <w:r>
        <w:rPr>
          <w:bCs/>
          <w:b/>
        </w:rPr>
        <w:t xml:space="preserve">Transport Distance (Illustrative portion of dwhkglkzwn):</w:t>
      </w:r>
      <w:r>
        <w:t xml:space="preserve"> </w:t>
      </w:r>
      <w:r>
        <w:t xml:space="preserve">10,000 km (China to Europe).</w:t>
      </w:r>
    </w:p>
    <w:p>
      <w:pPr>
        <w:numPr>
          <w:ilvl w:val="0"/>
          <w:numId w:val="1015"/>
        </w:numPr>
        <w:pStyle w:val="Compact"/>
      </w:pPr>
      <w:r>
        <w:rPr>
          <w:bCs/>
          <w:b/>
        </w:rPr>
        <w:t xml:space="preserve">Product Weight:</w:t>
      </w:r>
      <w:r>
        <w:t xml:space="preserve"> </w:t>
      </w:r>
      <w:r>
        <w:t xml:space="preserve">1.5 kg/unit (illustrative finished product weight).</w:t>
      </w:r>
    </w:p>
    <w:p>
      <w:pPr>
        <w:numPr>
          <w:ilvl w:val="0"/>
          <w:numId w:val="1015"/>
        </w:numPr>
        <w:pStyle w:val="Compact"/>
      </w:pPr>
      <w:r>
        <w:rPr>
          <w:bCs/>
          <w:b/>
        </w:rPr>
        <w:t xml:space="preserve">Emission Factor (Illustrative Ocean Freight):</w:t>
      </w:r>
      <w:r>
        <w:t xml:space="preserve"> </w:t>
      </w:r>
      <w:r>
        <w:t xml:space="preserve">~0.01 kg CO2e/tonne-km.</w:t>
      </w:r>
    </w:p>
    <w:p>
      <w:pPr>
        <w:numPr>
          <w:ilvl w:val="0"/>
          <w:numId w:val="1015"/>
        </w:numPr>
        <w:pStyle w:val="Compact"/>
      </w:pPr>
      <w:r>
        <w:rPr>
          <w:bCs/>
          <w:b/>
        </w:rPr>
        <w:t xml:space="preserve">Last-Mile Delivery:</w:t>
      </w:r>
      <w:r>
        <w:t xml:space="preserve"> </w:t>
      </w:r>
      <w:r>
        <w:rPr>
          <w:bCs/>
          <w:b/>
        </w:rPr>
        <w:t xml:space="preserve">Delivery Type</w:t>
      </w:r>
      <w:r>
        <w:t xml:space="preserve"> </w:t>
      </w:r>
      <w:r>
        <w:t xml:space="preserve">(e.g., Courier van, 100 km).</w:t>
      </w:r>
    </w:p>
    <w:p>
      <w:pPr>
        <w:numPr>
          <w:ilvl w:val="0"/>
          <w:numId w:val="1015"/>
        </w:numPr>
        <w:pStyle w:val="Compact"/>
      </w:pPr>
      <w:r>
        <w:rPr>
          <w:bCs/>
          <w:b/>
        </w:rPr>
        <w:t xml:space="preserve">Emission Factor (Illustrative Courier Van):</w:t>
      </w:r>
      <w:r>
        <w:t xml:space="preserve"> </w:t>
      </w:r>
      <w:r>
        <w:t xml:space="preserve">~0.15 kg CO2e/km (assuming dedicated delivery).</w:t>
      </w:r>
    </w:p>
    <w:p>
      <w:pPr>
        <w:pStyle w:val="FirstParagraph"/>
      </w:pPr>
      <w:r>
        <w:rPr>
          <w:bCs/>
          <w:b/>
        </w:rPr>
        <w:t xml:space="preserve">Calculation:</w:t>
      </w:r>
    </w:p>
    <w:p>
      <w:pPr>
        <w:numPr>
          <w:ilvl w:val="0"/>
          <w:numId w:val="1016"/>
        </w:numPr>
        <w:pStyle w:val="Compact"/>
      </w:pPr>
      <w:r>
        <w:t xml:space="preserve">Ocean Freight: 1.5 kg/unit * (1 tonne / 1000 kg) * 10000 km * 0.01 kg CO2e/tonne-km = 0.15 kg CO2e/unit</w:t>
      </w:r>
    </w:p>
    <w:p>
      <w:pPr>
        <w:numPr>
          <w:ilvl w:val="0"/>
          <w:numId w:val="1016"/>
        </w:numPr>
        <w:pStyle w:val="Compact"/>
      </w:pPr>
      <w:r>
        <w:t xml:space="preserve">Last-Mile Delivery: 1.5 kg/unit * (1 tonne / 1000 kg) * 100 km * 0.15 kg CO2e/tonne-km (adjusting for load) or a per-package factor if available. For simplicity, assume 0.5 kg CO2e/package (illustrative).</w:t>
      </w:r>
    </w:p>
    <w:p>
      <w:pPr>
        <w:pStyle w:val="FirstParagraph"/>
      </w:pPr>
      <w:r>
        <w:rPr>
          <w:bCs/>
          <w:b/>
        </w:rPr>
        <w:t xml:space="preserve">Illustrative Scope 3 (Category 9) Total: 0.15 kg + 0.5 kg = 0.65 kg CO2e/unit</w:t>
      </w:r>
    </w:p>
    <w:bookmarkEnd w:id="41"/>
    <w:bookmarkStart w:id="42" w:name="category-11-use-of-sold-products"/>
    <w:p>
      <w:pPr>
        <w:pStyle w:val="Heading4"/>
      </w:pPr>
      <w:r>
        <w:t xml:space="preserve">4.3.4. Category 11: Use of Sold Products</w:t>
      </w:r>
    </w:p>
    <w:p>
      <w:pPr>
        <w:pStyle w:val="FirstParagraph"/>
      </w:pPr>
      <w:r>
        <w:t xml:space="preserve">Based on product lifespan and energy consumption in use.</w:t>
      </w:r>
    </w:p>
    <w:p>
      <w:pPr>
        <w:numPr>
          <w:ilvl w:val="0"/>
          <w:numId w:val="1017"/>
        </w:numPr>
        <w:pStyle w:val="Compact"/>
      </w:pPr>
      <w:r>
        <w:rPr>
          <w:bCs/>
          <w:b/>
        </w:rPr>
        <w:t xml:space="preserve">Product Lifespan:</w:t>
      </w:r>
      <w:r>
        <w:t xml:space="preserve"> </w:t>
      </w:r>
      <w:r>
        <w:rPr>
          <w:bCs/>
          <w:b/>
        </w:rPr>
        <w:t xml:space="preserve">llsoyghtpl</w:t>
      </w:r>
      <w:r>
        <w:t xml:space="preserve"> </w:t>
      </w:r>
      <w:r>
        <w:t xml:space="preserve">(e.g., assume 5 years).</w:t>
      </w:r>
    </w:p>
    <w:p>
      <w:pPr>
        <w:numPr>
          <w:ilvl w:val="0"/>
          <w:numId w:val="1017"/>
        </w:numPr>
        <w:pStyle w:val="Compact"/>
      </w:pPr>
      <w:r>
        <w:rPr>
          <w:bCs/>
          <w:b/>
        </w:rPr>
        <w:t xml:space="preserve">Energy Consumption in Use:</w:t>
      </w:r>
      <w:r>
        <w:t xml:space="preserve"> </w:t>
      </w:r>
      <w:r>
        <w:rPr>
          <w:bCs/>
          <w:b/>
        </w:rPr>
        <w:t xml:space="preserve">devmijumht</w:t>
      </w:r>
      <w:r>
        <w:t xml:space="preserve"> </w:t>
      </w:r>
      <w:r>
        <w:t xml:space="preserve">(e.g., assume 20 kWh/year).</w:t>
      </w:r>
    </w:p>
    <w:p>
      <w:pPr>
        <w:numPr>
          <w:ilvl w:val="0"/>
          <w:numId w:val="1017"/>
        </w:numPr>
        <w:pStyle w:val="Compact"/>
      </w:pPr>
      <w:r>
        <w:rPr>
          <w:bCs/>
          <w:b/>
        </w:rPr>
        <w:t xml:space="preserve">End-user Electricity Grid Mix (Illustrative Europe average):</w:t>
      </w:r>
      <w:r>
        <w:t xml:space="preserve"> </w:t>
      </w:r>
      <w:r>
        <w:t xml:space="preserve">~0.25 kg CO2e/kWh.</w:t>
      </w:r>
    </w:p>
    <w:p>
      <w:pPr>
        <w:pStyle w:val="FirstParagraph"/>
      </w:pPr>
      <w:r>
        <w:rPr>
          <w:bCs/>
          <w:b/>
        </w:rPr>
        <w:t xml:space="preserve">Calculation:</w:t>
      </w:r>
      <w:r>
        <w:t xml:space="preserve"> </w:t>
      </w:r>
      <w:r>
        <w:t xml:space="preserve">5 years * 20 kWh/year * 0.25 kg CO2e/kWh = 25.0 kg CO2e/unit.</w:t>
      </w:r>
    </w:p>
    <w:p>
      <w:pPr>
        <w:pStyle w:val="BodyText"/>
      </w:pPr>
      <w:r>
        <w:rPr>
          <w:bCs/>
          <w:b/>
        </w:rPr>
        <w:t xml:space="preserve">Illustrative Scope 3 (Category 11) Total: 25.0 kg CO2e/unit</w:t>
      </w:r>
    </w:p>
    <w:bookmarkEnd w:id="42"/>
    <w:bookmarkStart w:id="43" w:name="X9f66eef2700632e081dfe139021cb724ffcd2c5"/>
    <w:p>
      <w:pPr>
        <w:pStyle w:val="Heading4"/>
      </w:pPr>
      <w:r>
        <w:t xml:space="preserve">4.3.5. Category 12: End-of-Life Treatment of Sold Products</w:t>
      </w:r>
    </w:p>
    <w:p>
      <w:pPr>
        <w:pStyle w:val="FirstParagraph"/>
      </w:pPr>
      <w:r>
        <w:t xml:space="preserve">Based on recyclability percentage and circular programs.</w:t>
      </w:r>
    </w:p>
    <w:p>
      <w:pPr>
        <w:numPr>
          <w:ilvl w:val="0"/>
          <w:numId w:val="1018"/>
        </w:numPr>
        <w:pStyle w:val="Compact"/>
      </w:pPr>
      <w:r>
        <w:rPr>
          <w:bCs/>
          <w:b/>
        </w:rPr>
        <w:t xml:space="preserve">Recyclability Percentage:</w:t>
      </w:r>
      <w:r>
        <w:t xml:space="preserve"> </w:t>
      </w:r>
      <w:r>
        <w:rPr>
          <w:bCs/>
          <w:b/>
        </w:rPr>
        <w:t xml:space="preserve">zyimezjmrp</w:t>
      </w:r>
      <w:r>
        <w:t xml:space="preserve"> </w:t>
      </w:r>
      <w:r>
        <w:t xml:space="preserve">(e.g., assume 80% recyclable).</w:t>
      </w:r>
    </w:p>
    <w:p>
      <w:pPr>
        <w:numPr>
          <w:ilvl w:val="0"/>
          <w:numId w:val="1018"/>
        </w:numPr>
        <w:pStyle w:val="Compact"/>
      </w:pPr>
      <w:r>
        <w:rPr>
          <w:bCs/>
          <w:b/>
        </w:rPr>
        <w:t xml:space="preserve">Product Mass (Illustrative):</w:t>
      </w:r>
      <w:r>
        <w:t xml:space="preserve"> </w:t>
      </w:r>
      <w:r>
        <w:t xml:space="preserve">1.5 kg/unit.</w:t>
      </w:r>
    </w:p>
    <w:p>
      <w:pPr>
        <w:numPr>
          <w:ilvl w:val="0"/>
          <w:numId w:val="1018"/>
        </w:numPr>
        <w:pStyle w:val="Compact"/>
      </w:pPr>
      <w:r>
        <w:rPr>
          <w:bCs/>
          <w:b/>
        </w:rPr>
        <w:t xml:space="preserve">Circular/Take-back Programs:</w:t>
      </w:r>
      <w:r>
        <w:t xml:space="preserve"> </w:t>
      </w:r>
      <w:r>
        <w:rPr>
          <w:bCs/>
          <w:b/>
        </w:rPr>
        <w:t xml:space="preserve">limmuffmpk</w:t>
      </w:r>
      <w:r>
        <w:t xml:space="preserve"> </w:t>
      </w:r>
      <w:r>
        <w:t xml:space="preserve">(e.g., active).</w:t>
      </w:r>
    </w:p>
    <w:p>
      <w:pPr>
        <w:numPr>
          <w:ilvl w:val="0"/>
          <w:numId w:val="1018"/>
        </w:numPr>
        <w:pStyle w:val="Compact"/>
      </w:pPr>
      <w:r>
        <w:rPr>
          <w:bCs/>
          <w:b/>
        </w:rPr>
        <w:t xml:space="preserve">Emission Factor (Illustrative for waste to landfill):</w:t>
      </w:r>
      <w:r>
        <w:t xml:space="preserve"> </w:t>
      </w:r>
      <w:r>
        <w:t xml:space="preserve">~1.0 kg CO2e/kg for non-recyclable.</w:t>
      </w:r>
    </w:p>
    <w:p>
      <w:pPr>
        <w:numPr>
          <w:ilvl w:val="0"/>
          <w:numId w:val="1018"/>
        </w:numPr>
        <w:pStyle w:val="Compact"/>
      </w:pPr>
      <w:r>
        <w:rPr>
          <w:bCs/>
          <w:b/>
        </w:rPr>
        <w:t xml:space="preserve">Credit Factor (Illustrative for recycling, avoiding virgin material):</w:t>
      </w:r>
      <w:r>
        <w:t xml:space="preserve"> </w:t>
      </w:r>
      <w:r>
        <w:t xml:space="preserve">-0.5 kg CO2e/kg for recyclable portion.</w:t>
      </w:r>
    </w:p>
    <w:p>
      <w:pPr>
        <w:pStyle w:val="FirstParagraph"/>
      </w:pPr>
      <w:r>
        <w:rPr>
          <w:bCs/>
          <w:b/>
        </w:rPr>
        <w:t xml:space="preserve">Calculation:</w:t>
      </w:r>
    </w:p>
    <w:p>
      <w:pPr>
        <w:numPr>
          <w:ilvl w:val="0"/>
          <w:numId w:val="1019"/>
        </w:numPr>
        <w:pStyle w:val="Compact"/>
      </w:pPr>
      <w:r>
        <w:t xml:space="preserve">Non-recyclable portion: 1.5 kg * (1 - 0.80) * 1.0 kg CO2e/kg = 0.3 kg CO2e/unit.</w:t>
      </w:r>
    </w:p>
    <w:p>
      <w:pPr>
        <w:numPr>
          <w:ilvl w:val="0"/>
          <w:numId w:val="1019"/>
        </w:numPr>
        <w:pStyle w:val="Compact"/>
      </w:pPr>
      <w:r>
        <w:t xml:space="preserve">Recycled portion credit: 1.5 kg * 0.80 * (-0.5) kg CO2e/kg = -0.6 kg CO2e/unit.</w:t>
      </w:r>
    </w:p>
    <w:p>
      <w:pPr>
        <w:pStyle w:val="FirstParagraph"/>
      </w:pPr>
      <w:r>
        <w:rPr>
          <w:bCs/>
          <w:b/>
        </w:rPr>
        <w:t xml:space="preserve">Illustrative Scope 3 (Category 12) Total: 0.3 kg + (-0.6 kg) = -0.3 kg CO2e/unit</w:t>
      </w:r>
      <w:r>
        <w:t xml:space="preserve"> </w:t>
      </w:r>
      <w:r>
        <w:t xml:space="preserve">(Net removal due to recycling credits).</w:t>
      </w:r>
    </w:p>
    <w:bookmarkEnd w:id="43"/>
    <w:bookmarkEnd w:id="44"/>
    <w:bookmarkStart w:id="45" w:name="X6cb5e98fc5f672b90609cb3addd66567976155f"/>
    <w:p>
      <w:pPr>
        <w:pStyle w:val="Heading3"/>
      </w:pPr>
      <w:r>
        <w:t xml:space="preserve">4.4. Total Product Carbon Footprint (Illustrative Summary)</w:t>
      </w:r>
    </w:p>
    <w:p>
      <w:pPr>
        <w:pStyle w:val="FirstParagraph"/>
      </w:pPr>
      <w:r>
        <w:t xml:space="preserve">Based on the illustrative calculations: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CO2e/unit)</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268.00 (per batch, not per unit in this example)</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4.76</w:t>
            </w:r>
          </w:p>
        </w:tc>
      </w:tr>
      <w:tr>
        <w:tc>
          <w:tcPr>
            <w:vMerge w:val="restart"/>
          </w:tcPr>
          <w:p>
            <w:pPr>
              <w:pStyle w:val="Compact"/>
              <w:jc w:val="left"/>
            </w:pPr>
            <w:r>
              <w:t xml:space="preserve">Scope 3</w:t>
            </w:r>
          </w:p>
        </w:tc>
        <w:tc>
          <w:tcPr/>
          <w:p>
            <w:pPr>
              <w:pStyle w:val="Compact"/>
              <w:jc w:val="left"/>
            </w:pPr>
            <w:r>
              <w:t xml:space="preserve">1. Purchased Goods &amp; Services (Materials)</w:t>
            </w:r>
          </w:p>
        </w:tc>
        <w:tc>
          <w:tcPr/>
          <w:p>
            <w:pPr>
              <w:pStyle w:val="Compact"/>
              <w:jc w:val="left"/>
            </w:pPr>
            <w:r>
              <w:t xml:space="preserve">7.085</w:t>
            </w:r>
          </w:p>
        </w:tc>
      </w:tr>
      <w:tr>
        <w:tc>
          <w:tcPr>
            <w:gridSpan w:val="1"/>
            <w:vMerge w:val="continue"/>
          </w:tcPr>
          <w:p>
            <w:pPr/>
          </w:p>
        </w:tc>
        <w:tc>
          <w:tcPr/>
          <w:p>
            <w:pPr>
              <w:pStyle w:val="Compact"/>
              <w:jc w:val="left"/>
            </w:pPr>
            <w:r>
              <w:t xml:space="preserve">4. Upstream Transportation</w:t>
            </w:r>
          </w:p>
        </w:tc>
        <w:tc>
          <w:tcPr/>
          <w:p>
            <w:pPr>
              <w:pStyle w:val="Compact"/>
              <w:jc w:val="left"/>
            </w:pPr>
            <w:r>
              <w:t xml:space="preserve">0.18</w:t>
            </w:r>
          </w:p>
        </w:tc>
      </w:tr>
      <w:tr>
        <w:tc>
          <w:tcPr>
            <w:gridSpan w:val="1"/>
            <w:vMerge w:val="continue"/>
          </w:tcPr>
          <w:p>
            <w:pPr/>
          </w:p>
        </w:tc>
        <w:tc>
          <w:tcPr/>
          <w:p>
            <w:pPr>
              <w:pStyle w:val="Compact"/>
              <w:jc w:val="left"/>
            </w:pPr>
            <w:r>
              <w:t xml:space="preserve">9. Downstream Transportation</w:t>
            </w:r>
          </w:p>
        </w:tc>
        <w:tc>
          <w:tcPr/>
          <w:p>
            <w:pPr>
              <w:pStyle w:val="Compact"/>
              <w:jc w:val="left"/>
            </w:pPr>
            <w:r>
              <w:t xml:space="preserve">0.65</w:t>
            </w:r>
          </w:p>
        </w:tc>
      </w:tr>
      <w:tr>
        <w:tc>
          <w:tcPr>
            <w:gridSpan w:val="1"/>
            <w:vMerge w:val="continue"/>
          </w:tcPr>
          <w:p>
            <w:pPr/>
          </w:p>
        </w:tc>
        <w:tc>
          <w:tcPr/>
          <w:p>
            <w:pPr>
              <w:pStyle w:val="Compact"/>
              <w:jc w:val="left"/>
            </w:pPr>
            <w:r>
              <w:t xml:space="preserve">11. Use of Sold Products</w:t>
            </w:r>
          </w:p>
        </w:tc>
        <w:tc>
          <w:tcPr/>
          <w:p>
            <w:pPr>
              <w:pStyle w:val="Compact"/>
              <w:jc w:val="left"/>
            </w:pPr>
            <w:r>
              <w:t xml:space="preserve">25.00</w:t>
            </w:r>
          </w:p>
        </w:tc>
      </w:tr>
      <w:tr>
        <w:tc>
          <w:tcPr/>
          <w:p>
            <w:pPr>
              <w:pStyle w:val="Compact"/>
              <w:jc w:val="left"/>
            </w:pPr>
            <w:r>
              <w:t xml:space="preserve">Scope 3 (Net)</w:t>
            </w:r>
          </w:p>
        </w:tc>
        <w:tc>
          <w:tcPr/>
          <w:p>
            <w:pPr>
              <w:pStyle w:val="Compact"/>
              <w:jc w:val="left"/>
            </w:pPr>
            <w:r>
              <w:t xml:space="preserve">12. End-of-Life Treatment</w:t>
            </w:r>
          </w:p>
        </w:tc>
        <w:tc>
          <w:tcPr/>
          <w:p>
            <w:pPr>
              <w:pStyle w:val="Compact"/>
              <w:jc w:val="left"/>
            </w:pPr>
            <w:r>
              <w:t xml:space="preserve">-0.30</w:t>
            </w:r>
          </w:p>
        </w:tc>
      </w:tr>
      <w:tr>
        <w:tc>
          <w:tcPr>
            <w:gridSpan w:val="2"/>
          </w:tcPr>
          <w:p>
            <w:pPr>
              <w:pStyle w:val="Compact"/>
              <w:jc w:val="right"/>
            </w:pPr>
            <w:r>
              <w:rPr>
                <w:bCs/>
                <w:b/>
              </w:rPr>
              <w:t xml:space="preserve">Total Illustrative PCF (per unit, excluding batch Scope 1):</w:t>
            </w:r>
          </w:p>
        </w:tc>
        <w:tc>
          <w:tcPr/>
          <w:p>
            <w:pPr>
              <w:pStyle w:val="Compact"/>
              <w:jc w:val="left"/>
            </w:pPr>
            <w:r>
              <w:rPr>
                <w:bCs/>
                <w:b/>
              </w:rPr>
              <w:t xml:space="preserve">37.375</w:t>
            </w:r>
          </w:p>
        </w:tc>
      </w:tr>
    </w:tbl>
    <w:p>
      <w:pPr>
        <w:pStyle w:val="BodyText"/>
      </w:pPr>
      <w:r>
        <w:rPr>
          <w:iCs/>
          <w:i/>
        </w:rPr>
        <w:t xml:space="preserve">Note: The illustrative Scope 1 value is provided per batch/company operations, not per functional unit in this simplified example. The other values are per functional unit. A full PCF would consistently allocate all emissions to the functional unit.</w:t>
      </w:r>
    </w:p>
    <w:p>
      <w:r>
        <w:pict>
          <v:rect style="width:0;height:1.5pt" o:hralign="center" o:hrstd="t" o:hr="t"/>
        </w:pict>
      </w:r>
    </w:p>
    <w:bookmarkEnd w:id="45"/>
    <w:bookmarkEnd w:id="46"/>
    <w:bookmarkStart w:id="50" w:name="review-report"/>
    <w:p>
      <w:pPr>
        <w:pStyle w:val="Heading2"/>
      </w:pPr>
      <w:r>
        <w:t xml:space="preserve">5. Review &amp; Report</w:t>
      </w:r>
    </w:p>
    <w:p>
      <w:pPr>
        <w:pStyle w:val="FirstParagraph"/>
      </w:pPr>
      <w:r>
        <w:t xml:space="preserve">The final stage involves reviewing the results, identifying emission hotspots, assessing data reliability, and outlining recommendations for improvement.</w:t>
      </w:r>
    </w:p>
    <w:bookmarkStart w:id="47" w:name="hotspot-identification"/>
    <w:p>
      <w:pPr>
        <w:pStyle w:val="Heading3"/>
      </w:pPr>
      <w:r>
        <w:t xml:space="preserve">5.1. Hotspot Identification</w:t>
      </w:r>
    </w:p>
    <w:p>
      <w:pPr>
        <w:pStyle w:val="FirstParagraph"/>
      </w:pPr>
      <w:r>
        <w:t xml:space="preserve">Based on the illustrative calculations, the most significant emission hotspots for</w:t>
      </w:r>
      <w:r>
        <w:t xml:space="preserve"> </w:t>
      </w:r>
      <w:r>
        <w:rPr>
          <w:bCs/>
          <w:b/>
        </w:rPr>
        <w:t xml:space="preserve">wvvxknpypu</w:t>
      </w:r>
      <w:r>
        <w:t xml:space="preserve"> </w:t>
      </w:r>
      <w:r>
        <w:t xml:space="preserve">are likely:</w:t>
      </w:r>
    </w:p>
    <w:p>
      <w:pPr>
        <w:numPr>
          <w:ilvl w:val="0"/>
          <w:numId w:val="1020"/>
        </w:numPr>
        <w:pStyle w:val="Compact"/>
      </w:pPr>
      <w:r>
        <w:rPr>
          <w:bCs/>
          <w:b/>
        </w:rPr>
        <w:t xml:space="preserve">Use Phase (Scope 3, Category 11):</w:t>
      </w:r>
      <w:r>
        <w:t xml:space="preserve"> </w:t>
      </w:r>
      <w:r>
        <w:t xml:space="preserve">With an illustrative 25.0 kg CO2e/unit, the energy consumption during product use is a major contributor. This highlights the importance of product energy efficiency.</w:t>
      </w:r>
    </w:p>
    <w:p>
      <w:pPr>
        <w:numPr>
          <w:ilvl w:val="0"/>
          <w:numId w:val="1020"/>
        </w:numPr>
        <w:pStyle w:val="Compact"/>
      </w:pPr>
      <w:r>
        <w:rPr>
          <w:bCs/>
          <w:b/>
        </w:rPr>
        <w:t xml:space="preserve">Purchased Goods and Services (Scope 3, Category 1):</w:t>
      </w:r>
      <w:r>
        <w:t xml:space="preserve"> </w:t>
      </w:r>
      <w:r>
        <w:t xml:space="preserve">Materials and components contribute a substantial 7.085 kg CO2e/unit, indicating that material selection and supplier engagement for low-carbon alternatives are critical.</w:t>
      </w:r>
    </w:p>
    <w:p>
      <w:pPr>
        <w:numPr>
          <w:ilvl w:val="0"/>
          <w:numId w:val="1020"/>
        </w:numPr>
        <w:pStyle w:val="Compact"/>
      </w:pPr>
      <w:r>
        <w:rPr>
          <w:bCs/>
          <w:b/>
        </w:rPr>
        <w:t xml:space="preserve">Manufacturing Energy (Scope 2):</w:t>
      </w:r>
      <w:r>
        <w:t xml:space="preserve"> </w:t>
      </w:r>
      <w:r>
        <w:t xml:space="preserve">Although lower in the illustrative example (4.76 kg CO2e/unit), this can be a significant hotspot if renewable energy penetration is low or energy intensity is high.</w:t>
      </w:r>
    </w:p>
    <w:bookmarkEnd w:id="47"/>
    <w:bookmarkStart w:id="48" w:name="data-reliability-and-limitations"/>
    <w:p>
      <w:pPr>
        <w:pStyle w:val="Heading3"/>
      </w:pPr>
      <w:r>
        <w:t xml:space="preserve">5.2. Data Reliability and Limitations</w:t>
      </w:r>
    </w:p>
    <w:p>
      <w:pPr>
        <w:pStyle w:val="FirstParagraph"/>
      </w:pPr>
      <w:r>
        <w:t xml:space="preserve">The reliability of this PCF analysis is contingent on the quality and specificity of the input data.</w:t>
      </w:r>
    </w:p>
    <w:p>
      <w:pPr>
        <w:numPr>
          <w:ilvl w:val="0"/>
          <w:numId w:val="1021"/>
        </w:numPr>
        <w:pStyle w:val="Compact"/>
      </w:pPr>
      <w:r>
        <w:rPr>
          <w:bCs/>
          <w:b/>
        </w:rPr>
        <w:t xml:space="preserve">Primary Data:</w:t>
      </w:r>
      <w:r>
        <w:t xml:space="preserve"> </w:t>
      </w:r>
      <w:r>
        <w:t xml:space="preserve">Utilizing supplier-specific data for the Detailed Bill of Materials (`kjplpvgx`) would significantly enhance accuracy. The extent to which `kjplpvgx` provides verified, activity-specific emission factors determines the precision of material impacts.</w:t>
      </w:r>
    </w:p>
    <w:p>
      <w:pPr>
        <w:numPr>
          <w:ilvl w:val="0"/>
          <w:numId w:val="1021"/>
        </w:numPr>
        <w:pStyle w:val="Compact"/>
      </w:pPr>
      <w:r>
        <w:rPr>
          <w:bCs/>
          <w:b/>
        </w:rPr>
        <w:t xml:space="preserve">Secondary Data:</w:t>
      </w:r>
      <w:r>
        <w:t xml:space="preserve"> </w:t>
      </w:r>
      <w:r>
        <w:t xml:space="preserve">For transport, generic emission factors for "Select Mode" and "Delivery Type" have been used illustratively. Actual transport data (specific vehicle types, load factors, return trips) would yield more accurate results. Similarly, generic electricity grid emission factors for China and illustrative European grid mixes for the use phase are used.</w:t>
      </w:r>
    </w:p>
    <w:p>
      <w:pPr>
        <w:numPr>
          <w:ilvl w:val="0"/>
          <w:numId w:val="1021"/>
        </w:numPr>
        <w:pStyle w:val="Compact"/>
      </w:pPr>
      <w:r>
        <w:rPr>
          <w:bCs/>
          <w:b/>
        </w:rPr>
        <w:t xml:space="preserve">Placeholders:</w:t>
      </w:r>
      <w:r>
        <w:t xml:space="preserve"> </w:t>
      </w:r>
      <w:r>
        <w:t xml:space="preserve">The presence of placeholder values (e.g., `nzvpvtejug`, `xutuzmhdyz`, `llsoyghtpl`, `devmijumht`, `zyimezjmrp`, `limmuffmpk`, `dwhkglkzwn`) means that the illustrative calculations are estimations. Real-world application would require converting these placeholders into concrete, measurable data points.</w:t>
      </w:r>
    </w:p>
    <w:p>
      <w:pPr>
        <w:numPr>
          <w:ilvl w:val="0"/>
          <w:numId w:val="1021"/>
        </w:numPr>
        <w:pStyle w:val="Compact"/>
      </w:pPr>
      <w:r>
        <w:rPr>
          <w:bCs/>
          <w:b/>
        </w:rPr>
        <w:t xml:space="preserve">System Boundary:</w:t>
      </w:r>
      <w:r>
        <w:t xml:space="preserve"> </w:t>
      </w:r>
      <w:r>
        <w:t xml:space="preserve">While "factory_gate" is the primary boundary, extending the analysis to cover the use and end-of-life phases, even illustratively, provides a more holistic view of the product\'s environmental impact.</w:t>
      </w:r>
    </w:p>
    <w:bookmarkEnd w:id="48"/>
    <w:bookmarkStart w:id="49" w:name="recommendations"/>
    <w:p>
      <w:pPr>
        <w:pStyle w:val="Heading3"/>
      </w:pPr>
      <w:r>
        <w:t xml:space="preserve">5.3. Recommendations</w:t>
      </w:r>
    </w:p>
    <w:p>
      <w:pPr>
        <w:pStyle w:val="FirstParagraph"/>
      </w:pPr>
      <w:r>
        <w:t xml:space="preserve">To further reduce the product carbon footprint of</w:t>
      </w:r>
      <w:r>
        <w:t xml:space="preserve"> </w:t>
      </w:r>
      <w:r>
        <w:rPr>
          <w:bCs/>
          <w:b/>
        </w:rPr>
        <w:t xml:space="preserve">wvvxknpypu</w:t>
      </w:r>
      <w:r>
        <w:t xml:space="preserve"> </w:t>
      </w:r>
      <w:r>
        <w:t xml:space="preserve">and enhance reporting accuracy,</w:t>
      </w:r>
      <w:r>
        <w:t xml:space="preserve"> </w:t>
      </w:r>
      <w:r>
        <w:rPr>
          <w:bCs/>
          <w:b/>
        </w:rPr>
        <w:t xml:space="preserve">mrlugdittp</w:t>
      </w:r>
      <w:r>
        <w:t xml:space="preserve"> </w:t>
      </w:r>
      <w:r>
        <w:t xml:space="preserve">should consider:</w:t>
      </w:r>
    </w:p>
    <w:p>
      <w:pPr>
        <w:numPr>
          <w:ilvl w:val="0"/>
          <w:numId w:val="1022"/>
        </w:numPr>
        <w:pStyle w:val="Compact"/>
      </w:pPr>
      <w:r>
        <w:rPr>
          <w:bCs/>
          <w:b/>
        </w:rPr>
        <w:t xml:space="preserve">Enhance Data Collection:</w:t>
      </w:r>
      <w:r>
        <w:t xml:space="preserve"> </w:t>
      </w:r>
      <w:r>
        <w:t xml:space="preserve">Prioritize obtaining primary, activity-specific data from key suppliers for high-impact materials and processes. For transportation, collect precise data on modes, distances, and load factors.</w:t>
      </w:r>
    </w:p>
    <w:p>
      <w:pPr>
        <w:numPr>
          <w:ilvl w:val="0"/>
          <w:numId w:val="1022"/>
        </w:numPr>
        <w:pStyle w:val="Compact"/>
      </w:pPr>
      <w:r>
        <w:rPr>
          <w:bCs/>
          <w:b/>
        </w:rPr>
        <w:t xml:space="preserve">Product Design Optimization:</w:t>
      </w:r>
      <w:r>
        <w:t xml:space="preserve"> </w:t>
      </w:r>
      <w:r>
        <w:t xml:space="preserve">Focus on reducing the energy consumption during the use phase (e.g., by improving energy efficiency to lower `devmijumht`). Explore alternative low-carbon materials and optimize material usage identified in the BOM (e.g., reduce quantities, substitute high-impact materials).</w:t>
      </w:r>
    </w:p>
    <w:p>
      <w:pPr>
        <w:numPr>
          <w:ilvl w:val="0"/>
          <w:numId w:val="1022"/>
        </w:numPr>
        <w:pStyle w:val="Compact"/>
      </w:pPr>
      <w:r>
        <w:rPr>
          <w:bCs/>
          <w:b/>
        </w:rPr>
        <w:t xml:space="preserve">Supply Chain Engagement:</w:t>
      </w:r>
      <w:r>
        <w:t xml:space="preserve"> </w:t>
      </w:r>
      <w:r>
        <w:t xml:space="preserve">Collaborate with suppliers to identify and implement GHG reduction initiatives, especially for high-emission components and processes. Incentivize suppliers to provide product-specific PCF data.</w:t>
      </w:r>
    </w:p>
    <w:p>
      <w:pPr>
        <w:numPr>
          <w:ilvl w:val="0"/>
          <w:numId w:val="1022"/>
        </w:numPr>
        <w:pStyle w:val="Compact"/>
      </w:pPr>
      <w:r>
        <w:rPr>
          <w:bCs/>
          <w:b/>
        </w:rPr>
        <w:t xml:space="preserve">Renewable Energy Adoption:</w:t>
      </w:r>
      <w:r>
        <w:t xml:space="preserve"> </w:t>
      </w:r>
      <w:r>
        <w:t xml:space="preserve">Increase the proportion of renewable energy used in the manufacturing facility (`nzvpvtejug`) to further reduce Scope 2 emissions. If</w:t>
      </w:r>
      <w:r>
        <w:t xml:space="preserve"> </w:t>
      </w:r>
      <w:r>
        <w:rPr>
          <w:bCs/>
          <w:b/>
        </w:rPr>
        <w:t xml:space="preserve">mrlugdittp</w:t>
      </w:r>
      <w:r>
        <w:t xml:space="preserve"> </w:t>
      </w:r>
      <w:r>
        <w:t xml:space="preserve">does not own or control generation, ensure market-based instruments (e.g., Renewable Energy Certificates) are robust.</w:t>
      </w:r>
    </w:p>
    <w:p>
      <w:pPr>
        <w:numPr>
          <w:ilvl w:val="0"/>
          <w:numId w:val="1022"/>
        </w:numPr>
        <w:pStyle w:val="Compact"/>
      </w:pPr>
      <w:r>
        <w:rPr>
          <w:bCs/>
          <w:b/>
        </w:rPr>
        <w:t xml:space="preserve">Logistics Optimization:</w:t>
      </w:r>
      <w:r>
        <w:t xml:space="preserve"> </w:t>
      </w:r>
      <w:r>
        <w:t xml:space="preserve">Optimize transport routes, modes, and vehicle utilization to minimize logistics emissions. Evaluate the impacts of different \'Select Mode\' and \'Delivery Type\' choices for both inbound and outbound logistics.</w:t>
      </w:r>
    </w:p>
    <w:p>
      <w:pPr>
        <w:numPr>
          <w:ilvl w:val="0"/>
          <w:numId w:val="1022"/>
        </w:numPr>
        <w:pStyle w:val="Compact"/>
      </w:pPr>
      <w:r>
        <w:rPr>
          <w:bCs/>
          <w:b/>
        </w:rPr>
        <w:t xml:space="preserve">Circular Economy Initiatives:</w:t>
      </w:r>
      <w:r>
        <w:t xml:space="preserve"> </w:t>
      </w:r>
      <w:r>
        <w:t xml:space="preserve">Expand and promote circular/take-back programs (`limmuffmpk`) and design for higher recyclability (`zyimezjmrp`) to minimize end-of-life impacts and maximize resource efficiency.</w:t>
      </w:r>
    </w:p>
    <w:p>
      <w:pPr>
        <w:numPr>
          <w:ilvl w:val="0"/>
          <w:numId w:val="1022"/>
        </w:numPr>
        <w:pStyle w:val="Compact"/>
      </w:pPr>
      <w:r>
        <w:rPr>
          <w:bCs/>
          <w:b/>
        </w:rPr>
        <w:t xml:space="preserve">Regular Reporting &amp; Verification:</w:t>
      </w:r>
      <w:r>
        <w:t xml:space="preserve"> </w:t>
      </w:r>
      <w:r>
        <w:t xml:space="preserve">Conduct annual PCF assessments to track progress against reduction targets. Consider third-party verification to enhance the credibility and robustness of the reported data.</w:t>
      </w:r>
    </w:p>
    <w:p>
      <w:r>
        <w:pict>
          <v:rect style="width:0;height:1.5pt" o:hralign="center" o:hrstd="t" o:hr="t"/>
        </w:pict>
      </w:r>
    </w:p>
    <w:p>
      <w:pPr>
        <w:pStyle w:val="FirstParagraph"/>
      </w:pPr>
      <w:r>
        <w:t xml:space="preserve">Confidential - Internal Use Only | Page</w:t>
      </w:r>
      <w:r>
        <w:t xml:space="preserve"> </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wvvxknpypu</dc:title>
  <dc:creator/>
  <dc:description>High-detail Product Carbon Footprint (PCF) analysis report for wvvxknpypu by Senior Sustainability Consultant mhehkyykjs, adhering to GHG Protocol and 2026 updates.</dc:description>
  <dc:language>en</dc:language>
  <cp:keywords/>
  <dcterms:created xsi:type="dcterms:W3CDTF">2026-07-15T09:11:31Z</dcterms:created>
  <dcterms:modified xsi:type="dcterms:W3CDTF">2026-07-15T09:11:31Z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