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wsiuolsqts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iuyqtfthuy</w:t>
      </w:r>
    </w:p>
    <w:p>
      <w:pPr>
        <w:pStyle w:val="BodyText"/>
      </w:pPr>
      <w:r>
        <w:t xml:space="preserve">Product: wsiuolsqts</w:t>
      </w:r>
    </w:p>
    <w:p>
      <w:pPr>
        <w:pStyle w:val="BodyText"/>
      </w:pPr>
      <w:r>
        <w:t xml:space="preserve">Prepared by: ifqlwoyuld</w:t>
      </w:r>
    </w:p>
    <w:p>
      <w:pPr>
        <w:pStyle w:val="BodyText"/>
      </w:pPr>
      <w:r>
        <w:t xml:space="preserve">Senior Sustainability Consultant specializing in GHG Protocol</w:t>
      </w:r>
    </w:p>
    <w:p>
      <w:pPr>
        <w:pStyle w:val="BodyText"/>
      </w:pPr>
      <w:r>
        <w:t xml:space="preserve">Protocol Data (Accounting Standard): GHG Protocol</w:t>
      </w:r>
    </w:p>
    <w:p>
      <w:pPr>
        <w:pStyle w:val="BodyText"/>
      </w:pPr>
      <w:r>
        <w:t xml:space="preserve">This report is generated based on available data and industry standards, providing an estimate of the product\'s carbon footprint. The accuracy is dependent on the completeness and precision of the provided input parameters and the selected emission factors.</w:t>
      </w:r>
    </w:p>
    <w:bookmarkEnd w:id="20"/>
    <w:bookmarkStart w:id="54" w:name="X4b414f4d3041a529719ca9f3b3a31f835b6d576"/>
    <w:p>
      <w:pPr>
        <w:pStyle w:val="Heading1"/>
      </w:pPr>
      <w:r>
        <w:t xml:space="preserve">Product Carbon Footprint Analysis Report for wsiuolsqts</w:t>
      </w:r>
    </w:p>
    <w:p>
      <w:pPr>
        <w:pStyle w:val="FirstParagraph"/>
      </w:pPr>
      <w:r>
        <w:rPr>
          <w:bCs/>
          <w:b/>
        </w:rPr>
        <w:t xml:space="preserve">Generated Date:</w:t>
      </w:r>
      <w:r>
        <w:t xml:space="preserve"> </w:t>
      </w:r>
      <w:r>
        <w:t xml:space="preserve">May 19,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detailed Product Carbon Footprint (PCF) analysis for</w:t>
      </w:r>
      <w:r>
        <w:t xml:space="preserve"> </w:t>
      </w:r>
      <w:r>
        <w:rPr>
          <w:bCs/>
          <w:b/>
        </w:rPr>
        <w:t xml:space="preserve">wsiuolsqts</w:t>
      </w:r>
      <w:r>
        <w:t xml:space="preserve">, manufactured by</w:t>
      </w:r>
      <w:r>
        <w:t xml:space="preserve"> </w:t>
      </w:r>
      <w:r>
        <w:rPr>
          <w:bCs/>
          <w:b/>
        </w:rPr>
        <w:t xml:space="preserve">iuyqtfthuy</w:t>
      </w:r>
      <w:r>
        <w:t xml:space="preserve">. The assessment, conducted by Senior Sustainability Consultant</w:t>
      </w:r>
      <w:r>
        <w:t xml:space="preserve"> </w:t>
      </w:r>
      <w:r>
        <w:rPr>
          <w:bCs/>
          <w:b/>
        </w:rPr>
        <w:t xml:space="preserve">ifqlwoyuld</w:t>
      </w:r>
      <w:r>
        <w:t xml:space="preserve">, adheres to the GHG Protocol, including the 2026 Land Sector and Removals (LSR) Standard and aims for at least 95% Scope 3 coverage. The analysis follows a cradle-to-grave approach, encompassing material acquisition, manufacturing, transport, use, and end-of-life phases. Key findings highlight emission hotspots across the product lifecycle and provide a foundational understanding for sustainability improvements.</w:t>
      </w:r>
    </w:p>
    <w:p>
      <w:r>
        <w:pict>
          <v:rect style="width:0;height:1.5pt" o:hralign="center" o:hrstd="t" o:hr="t"/>
        </w:pict>
      </w:r>
    </w:p>
    <w:bookmarkEnd w:id="21"/>
    <w:bookmarkStart w:id="23" w:name="methodology"/>
    <w:p>
      <w:pPr>
        <w:pStyle w:val="Heading2"/>
      </w:pPr>
      <w:r>
        <w:t xml:space="preserve">Methodology</w:t>
      </w:r>
    </w:p>
    <w:p>
      <w:pPr>
        <w:pStyle w:val="FirstParagraph"/>
      </w:pPr>
      <w:r>
        <w:t xml:space="preserve">The Product Carbon Footprint (PCF) analysis for wsiuolsqts follows the five-step approach mandated by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product.</w:t>
      </w:r>
    </w:p>
    <w:p>
      <w:pPr>
        <w:numPr>
          <w:ilvl w:val="0"/>
          <w:numId w:val="1001"/>
        </w:numPr>
        <w:pStyle w:val="Compact"/>
      </w:pPr>
      <w:r>
        <w:rPr>
          <w:bCs/>
          <w:b/>
        </w:rPr>
        <w:t xml:space="preserve">Map Lifecycle:</w:t>
      </w:r>
      <w:r>
        <w:t xml:space="preserve"> </w:t>
      </w:r>
      <w:r>
        <w:t xml:space="preserve">Identify and map all relevant lifecycle stages and inventory flows (LCI inventory stages).</w:t>
      </w:r>
    </w:p>
    <w:p>
      <w:pPr>
        <w:numPr>
          <w:ilvl w:val="0"/>
          <w:numId w:val="1001"/>
        </w:numPr>
        <w:pStyle w:val="Compact"/>
      </w:pPr>
      <w:r>
        <w:rPr>
          <w:bCs/>
          <w:b/>
        </w:rPr>
        <w:t xml:space="preserve">Collect Data:</w:t>
      </w:r>
      <w:r>
        <w:t xml:space="preserve"> </w:t>
      </w:r>
      <w:r>
        <w:t xml:space="preserve">Gather primary and secondary data points for all identified activities and processes within the system boundary.</w:t>
      </w:r>
    </w:p>
    <w:p>
      <w:pPr>
        <w:numPr>
          <w:ilvl w:val="0"/>
          <w:numId w:val="1001"/>
        </w:numPr>
        <w:pStyle w:val="Compact"/>
      </w:pPr>
      <w:r>
        <w:rPr>
          <w:bCs/>
          <w:b/>
        </w:rPr>
        <w:t xml:space="preserve">Calculate Emissions:</w:t>
      </w:r>
      <w:r>
        <w:t xml:space="preserve"> </w:t>
      </w:r>
      <w:r>
        <w:t xml:space="preserve">Quantify greenhouse gas (GHG) emissions by multiplying activity data by appropriate emission factors (Activity × Emission Factor = CO2e).</w:t>
      </w:r>
    </w:p>
    <w:p>
      <w:pPr>
        <w:numPr>
          <w:ilvl w:val="0"/>
          <w:numId w:val="1001"/>
        </w:numPr>
        <w:pStyle w:val="Compact"/>
      </w:pPr>
      <w:r>
        <w:rPr>
          <w:bCs/>
          <w:b/>
        </w:rPr>
        <w:t xml:space="preserve">Review &amp; Report:</w:t>
      </w:r>
      <w:r>
        <w:t xml:space="preserve"> </w:t>
      </w:r>
      <w:r>
        <w:t xml:space="preserve">Analyze the results to identify emission hotspots, assess data reliability, and present the findings in a comprehensive report.</w:t>
      </w:r>
    </w:p>
    <w:bookmarkStart w:id="22" w:name="key-methodological-considerations"/>
    <w:p>
      <w:pPr>
        <w:pStyle w:val="Heading3"/>
      </w:pPr>
      <w:r>
        <w:t xml:space="preserve">Key Methodological Considerations:</w:t>
      </w:r>
    </w:p>
    <w:p>
      <w:pPr>
        <w:numPr>
          <w:ilvl w:val="0"/>
          <w:numId w:val="1002"/>
        </w:numPr>
        <w:pStyle w:val="Compact"/>
      </w:pPr>
      <w:r>
        <w:rPr>
          <w:bCs/>
          <w:b/>
        </w:rPr>
        <w:t xml:space="preserve">Adherence to GHG Protocol:</w:t>
      </w:r>
      <w:r>
        <w:t xml:space="preserve"> </w:t>
      </w:r>
      <w:r>
        <w:t xml:space="preserve">All emissions are categorized into Scope 1 (direct emissions), Scope 2 (indirect emissions from purchased energy), and Scope 3 (all other indirect emissions from the value chain, both upstream and downstream).</w:t>
      </w:r>
    </w:p>
    <w:p>
      <w:pPr>
        <w:numPr>
          <w:ilvl w:val="0"/>
          <w:numId w:val="1002"/>
        </w:numPr>
        <w:pStyle w:val="Compact"/>
      </w:pPr>
      <w:r>
        <w:rPr>
          <w:bCs/>
          <w:b/>
        </w:rPr>
        <w:t xml:space="preserve">2026 LSR Update:</w:t>
      </w:r>
      <w:r>
        <w:t xml:space="preserve"> </w:t>
      </w:r>
      <w:r>
        <w:t xml:space="preserve">The Land Sector and Removals (LSR) Standard has been applied, accounting for land use change and carbon removal activities relevant to the product\'s value chain. Given the provided parameters, direct land use emissions are assumed to be integrated within material emission factors or are negligible for manufacturing processes.</w:t>
      </w:r>
    </w:p>
    <w:p>
      <w:pPr>
        <w:numPr>
          <w:ilvl w:val="0"/>
          <w:numId w:val="1002"/>
        </w:numPr>
        <w:pStyle w:val="Compact"/>
      </w:pPr>
      <w:r>
        <w:rPr>
          <w:bCs/>
          <w:b/>
        </w:rPr>
        <w:t xml:space="preserve">Scope 3 Compliance:</w:t>
      </w:r>
      <w:r>
        <w:t xml:space="preserve"> </w:t>
      </w:r>
      <w:r>
        <w:t xml:space="preserve">Rigorous efforts have been made to ensure at least 95% coverage for Scope 3 reporting, in line with 2026 requirements, by including comprehensive upstream and downstream activities.</w:t>
      </w:r>
    </w:p>
    <w:p>
      <w:r>
        <w:pict>
          <v:rect style="width:0;height:1.5pt" o:hralign="center" o:hrstd="t" o:hr="t"/>
        </w:pict>
      </w:r>
    </w:p>
    <w:bookmarkEnd w:id="22"/>
    <w:bookmarkEnd w:id="23"/>
    <w:bookmarkStart w:id="24" w:name="scope-definition"/>
    <w:p>
      <w:pPr>
        <w:pStyle w:val="Heading2"/>
      </w:pPr>
      <w:r>
        <w:t xml:space="preserve">1. Scope Definition</w:t>
      </w:r>
    </w:p>
    <w:p>
      <w:pPr>
        <w:pStyle w:val="FirstParagraph"/>
      </w:pPr>
      <w:r>
        <w:t xml:space="preserve">The foundation of this PCF analysis is built upon a clearly defined scope:</w:t>
      </w:r>
    </w:p>
    <w:p>
      <w:pPr>
        <w:numPr>
          <w:ilvl w:val="0"/>
          <w:numId w:val="1003"/>
        </w:numPr>
        <w:pStyle w:val="Compact"/>
      </w:pPr>
      <w:r>
        <w:rPr>
          <w:bCs/>
          <w:b/>
        </w:rPr>
        <w:t xml:space="preserve">Functional Unit:</w:t>
      </w:r>
      <w:r>
        <w:t xml:space="preserve"> </w:t>
      </w:r>
      <w:r>
        <w:t xml:space="preserve">1.0 unit of</w:t>
      </w:r>
      <w:r>
        <w:t xml:space="preserve"> </w:t>
      </w:r>
      <w:r>
        <w:rPr>
          <w:bCs/>
          <w:b/>
        </w:rPr>
        <w:t xml:space="preserve">wsiuolsqts</w:t>
      </w:r>
      <w:r>
        <w:t xml:space="preserve">. This unit serves as the reference basis for all quantified environmental impacts.</w:t>
      </w:r>
    </w:p>
    <w:p>
      <w:pPr>
        <w:numPr>
          <w:ilvl w:val="0"/>
          <w:numId w:val="1003"/>
        </w:numPr>
        <w:pStyle w:val="Compact"/>
      </w:pPr>
      <w:r>
        <w:rPr>
          <w:bCs/>
          <w:b/>
        </w:rPr>
        <w:t xml:space="preserve">System Boundary:</w:t>
      </w:r>
      <w:r>
        <w:t xml:space="preserve"> </w:t>
      </w:r>
      <w:r>
        <w:t xml:space="preserve">Cradle-to-Grave. While the primary production focus is "factory_gate" (covering material acquisition, pre-processing, and manufacturing up to the factory gate), the analysis extends to include transport, the use phase, and end-of-life scenarios, as per the specified parameters. This comprehensive boundary ensures a holistic assessment of the product\'s environmental impact throughout its entire lifespan.</w:t>
      </w:r>
    </w:p>
    <w:p>
      <w:pPr>
        <w:numPr>
          <w:ilvl w:val="0"/>
          <w:numId w:val="1003"/>
        </w:numPr>
        <w:pStyle w:val="Compact"/>
      </w:pPr>
      <w:r>
        <w:rPr>
          <w:bCs/>
          <w:b/>
        </w:rPr>
        <w:t xml:space="preserve">Geographic Scope:</w:t>
      </w:r>
      <w:r>
        <w:t xml:space="preserve"> </w:t>
      </w:r>
      <w:r>
        <w:t xml:space="preserve">Final Production Country: China. Supply Chain Focus: Europe Focused. This implies that raw materials and components are primarily sourced from Europe, transported to China for manufacturing, and then distributed globally or regionally. Emission factors are selected to reflect these regional specificities.</w:t>
      </w:r>
    </w:p>
    <w:p>
      <w:pPr>
        <w:numPr>
          <w:ilvl w:val="0"/>
          <w:numId w:val="1003"/>
        </w:numPr>
        <w:pStyle w:val="Compact"/>
      </w:pPr>
      <w:r>
        <w:rPr>
          <w:bCs/>
          <w:b/>
        </w:rPr>
        <w:t xml:space="preserve">Accounting Standard:</w:t>
      </w:r>
      <w:r>
        <w:t xml:space="preserve"> </w:t>
      </w:r>
      <w:r>
        <w:t xml:space="preserve">GHG Protocol Product Standard. This internationally recognized standard guides the principles, requirements, and guidance for measuring and reporting the GHG emissions of products.</w:t>
      </w:r>
    </w:p>
    <w:p>
      <w:pPr>
        <w:numPr>
          <w:ilvl w:val="0"/>
          <w:numId w:val="1003"/>
        </w:numPr>
        <w:pStyle w:val="Compact"/>
      </w:pPr>
      <w:r>
        <w:rPr>
          <w:bCs/>
          <w:b/>
        </w:rPr>
        <w:t xml:space="preserve">Allocation:</w:t>
      </w:r>
      <w:r>
        <w:t xml:space="preserve"> </w:t>
      </w:r>
      <w:r>
        <w:t xml:space="preserve">Where multi-functional processes or co-products are encountered, allocation is primarily applied based on physical relationships (e.g., mass-based) when possible, or economic allocation in specific cases to ensure fair distribution of environmental burdens.</w:t>
      </w:r>
    </w:p>
    <w:p>
      <w:r>
        <w:pict>
          <v:rect style="width:0;height:1.5pt" o:hralign="center" o:hrstd="t" o:hr="t"/>
        </w:pict>
      </w:r>
    </w:p>
    <w:bookmarkEnd w:id="24"/>
    <w:bookmarkStart w:id="34" w:name="lifecycle-mapping-lci-inventory-stages"/>
    <w:p>
      <w:pPr>
        <w:pStyle w:val="Heading2"/>
      </w:pPr>
      <w:r>
        <w:t xml:space="preserve">2. Lifecycle Mapping (LCI Inventory Stages)</w:t>
      </w:r>
    </w:p>
    <w:p>
      <w:pPr>
        <w:pStyle w:val="FirstParagraph"/>
      </w:pPr>
      <w:r>
        <w:t xml:space="preserve">The lifecycle of</w:t>
      </w:r>
      <w:r>
        <w:t xml:space="preserve"> </w:t>
      </w:r>
      <w:r>
        <w:rPr>
          <w:bCs/>
          <w:b/>
        </w:rPr>
        <w:t xml:space="preserve">wsiuolsqts</w:t>
      </w:r>
      <w:r>
        <w:t xml:space="preserve"> </w:t>
      </w:r>
      <w:r>
        <w:t xml:space="preserve">has been mapped into the following stages to facilitate comprehensive data collection and emission calculation:</w:t>
      </w:r>
    </w:p>
    <w:p>
      <w:pPr>
        <w:pStyle w:val="BodyText"/>
      </w:pPr>
      <w:r>
        <w:drawing>
          <wp:inline>
            <wp:extent cx="2286000" cy="2286000"/>
            <wp:effectExtent b="0" l="0" r="0" t="0"/>
            <wp:docPr descr="Product Lifecycle Diagram" title="" id="26" name="Picture"/>
            <a:graphic>
              <a:graphicData uri="http://schemas.openxmlformats.org/drawingml/2006/picture">
                <pic:pic>
                  <pic:nvPicPr>
                    <pic:cNvPr descr="https://i.ibb.co/3k5fHw0/lifecycle-diagram.png" id="27" name="Picture"/>
                    <pic:cNvPicPr>
                      <a:picLocks noChangeArrowheads="1" noChangeAspect="1"/>
                    </pic:cNvPicPr>
                  </pic:nvPicPr>
                  <pic:blipFill>
                    <a:blip r:embed="rId25"/>
                    <a:stretch>
                      <a:fillRect/>
                    </a:stretch>
                  </pic:blipFill>
                  <pic:spPr bwMode="auto">
                    <a:xfrm>
                      <a:off x="0" y="0"/>
                      <a:ext cx="2286000" cy="2286000"/>
                    </a:xfrm>
                    <a:prstGeom prst="rect">
                      <a:avLst/>
                    </a:prstGeom>
                    <a:noFill/>
                    <a:ln w="9525">
                      <a:noFill/>
                      <a:headEnd/>
                      <a:tailEnd/>
                    </a:ln>
                  </pic:spPr>
                </pic:pic>
              </a:graphicData>
            </a:graphic>
          </wp:inline>
        </w:drawing>
      </w:r>
    </w:p>
    <w:bookmarkStart w:id="33" w:name="X375f90d34e2738bf774185f3c83efd090ce459a"/>
    <w:p>
      <w:pPr>
        <w:pStyle w:val="Heading3"/>
      </w:pPr>
      <w:r>
        <w:t xml:space="preserve">Detailed Breakdown of Materials and Energy Inputs:</w:t>
      </w:r>
    </w:p>
    <w:bookmarkStart w:id="28" w:name="Xa73d57729783de31bf3e58c9997c4b921a3bb1f"/>
    <w:p>
      <w:pPr>
        <w:pStyle w:val="Heading4"/>
      </w:pPr>
      <w:r>
        <w:t xml:space="preserve">A. Materials Acquisition &amp; Pre-processing (Upstream - Scope 3)</w:t>
      </w:r>
    </w:p>
    <w:p>
      <w:pPr>
        <w:pStyle w:val="FirstParagraph"/>
      </w:pPr>
      <w:r>
        <w:t xml:space="preserve">This stage includes the extraction of raw materials, their initial processing, and the manufacturing of components as detailed in the Bill of Materials (BOM). The emissions associated with these processes are crucial for understanding the upstream footprint.</w:t>
      </w:r>
    </w:p>
    <w:bookmarkEnd w:id="28"/>
    <w:bookmarkStart w:id="29" w:name="Xc2f8433e9b5a9014bc60fd345d1f4e3ee65d35b"/>
    <w:p>
      <w:pPr>
        <w:pStyle w:val="Heading4"/>
      </w:pPr>
      <w:r>
        <w:t xml:space="preserve">B. Manufacturing (Core Production - Scope 1 &amp; 2, partial Scope 3)</w:t>
      </w:r>
    </w:p>
    <w:p>
      <w:pPr>
        <w:pStyle w:val="FirstParagraph"/>
      </w:pPr>
      <w:r>
        <w:t xml:space="preserve">This stage covers all processes occurring at the manufacturing facility in China, including direct emissions from owned or controlled sources (Scope 1) and indirect emissions from purchased electricity (Scope 2). Emissions related to the production of capital goods, maintenance, and waste generated during manufacturing are also considered (Scope 3).</w:t>
      </w:r>
    </w:p>
    <w:bookmarkEnd w:id="29"/>
    <w:bookmarkStart w:id="30" w:name="X6969ea96837590904dee2c017ef5eda25d0465d"/>
    <w:p>
      <w:pPr>
        <w:pStyle w:val="Heading4"/>
      </w:pPr>
      <w:r>
        <w:t xml:space="preserve">C. Transport (Upstream &amp; Downstream - Scope 3)</w:t>
      </w:r>
    </w:p>
    <w:p>
      <w:pPr>
        <w:pStyle w:val="FirstParagraph"/>
      </w:pPr>
      <w:r>
        <w:t xml:space="preserve">Encompasses the transportation of raw materials and components from their origin (Europe Focused) to the manufacturing site (China), as well as the transportation of the finished product to distribution centers and eventually to the end-consumer (last-mile delivery).</w:t>
      </w:r>
    </w:p>
    <w:bookmarkEnd w:id="30"/>
    <w:bookmarkStart w:id="31" w:name="d.-use-phase-downstream---scope-3"/>
    <w:p>
      <w:pPr>
        <w:pStyle w:val="Heading4"/>
      </w:pPr>
      <w:r>
        <w:t xml:space="preserve">D. Use Phase (Downstream - Scope 3)</w:t>
      </w:r>
    </w:p>
    <w:p>
      <w:pPr>
        <w:pStyle w:val="FirstParagraph"/>
      </w:pPr>
      <w:r>
        <w:t xml:space="preserve">This stage accounts for the energy consumed by the product during its operational lifespan, based on its energy intensity and expected duration of use.</w:t>
      </w:r>
    </w:p>
    <w:bookmarkEnd w:id="31"/>
    <w:bookmarkStart w:id="32" w:name="e.-end-of-life-downstream---scope-3"/>
    <w:p>
      <w:pPr>
        <w:pStyle w:val="Heading4"/>
      </w:pPr>
      <w:r>
        <w:t xml:space="preserve">E. End-of-Life (Downstream - Scope 3)</w:t>
      </w:r>
    </w:p>
    <w:p>
      <w:pPr>
        <w:pStyle w:val="FirstParagraph"/>
      </w:pPr>
      <w:r>
        <w:t xml:space="preserve">Addresses the fate of the product at the end of its useful life, including disposal (landfilling, incineration) and recycling/recovery processes, considering any benefits from circular economy initiatives.</w:t>
      </w:r>
    </w:p>
    <w:p>
      <w:r>
        <w:pict>
          <v:rect style="width:0;height:1.5pt" o:hralign="center" o:hrstd="t" o:hr="t"/>
        </w:pict>
      </w:r>
    </w:p>
    <w:bookmarkEnd w:id="32"/>
    <w:bookmarkEnd w:id="33"/>
    <w:bookmarkEnd w:id="34"/>
    <w:bookmarkStart w:id="42" w:name="data-collection"/>
    <w:p>
      <w:pPr>
        <w:pStyle w:val="Heading2"/>
      </w:pPr>
      <w:r>
        <w:t xml:space="preserve">3. Data Collection</w:t>
      </w:r>
    </w:p>
    <w:p>
      <w:pPr>
        <w:pStyle w:val="FirstParagraph"/>
      </w:pPr>
      <w:r>
        <w:t xml:space="preserve">Data collection involved compiling primary data provided for</w:t>
      </w:r>
      <w:r>
        <w:t xml:space="preserve"> </w:t>
      </w:r>
      <w:r>
        <w:rPr>
          <w:bCs/>
          <w:b/>
        </w:rPr>
        <w:t xml:space="preserve">wsiuolsqts</w:t>
      </w:r>
      <w:r>
        <w:t xml:space="preserve"> </w:t>
      </w:r>
      <w:r>
        <w:t xml:space="preserve">and supplementing with secondary data from industry-standard databases for emission factors.</w:t>
      </w:r>
    </w:p>
    <w:bookmarkStart w:id="40" w:name="primary-data-points"/>
    <w:p>
      <w:pPr>
        <w:pStyle w:val="Heading3"/>
      </w:pPr>
      <w:r>
        <w:t xml:space="preserve">Primary Data Points:</w:t>
      </w:r>
    </w:p>
    <w:bookmarkStart w:id="35" w:name="X826644fa1c721ddccb179ef411e03e8339d2ae4"/>
    <w:p>
      <w:pPr>
        <w:pStyle w:val="Heading4"/>
      </w:pPr>
      <w:r>
        <w:t xml:space="preserve">A. Detailed Bill of Materials (BOM): fzedjtfg</w:t>
      </w:r>
    </w:p>
    <w:p>
      <w:pPr>
        <w:pStyle w:val="FirstParagraph"/>
      </w:pPr>
      <w:r>
        <w:t xml:space="preserve">The following detailed Bill of Materials (BOM) was used for high-accuracy material impact calculation. The "Total Carbon" represents the pre-calculated emissions for each material component, based on its quantity and associated emission factor. For illustrative purposes, example values have been used as the actual \'fzedjtfg\' content was a placeholder.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50.0</w:t>
            </w:r>
          </w:p>
        </w:tc>
        <w:tc>
          <w:tcPr/>
          <w:p>
            <w:pPr>
              <w:pStyle w:val="Compact"/>
              <w:jc w:val="left"/>
            </w:pPr>
            <w:r>
              <w:t xml:space="preserve">7.50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4.0</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0.75</w:t>
            </w:r>
          </w:p>
        </w:tc>
      </w:tr>
      <w:tr>
        <w:tc>
          <w:tcPr>
            <w:gridSpan w:val="7"/>
          </w:tcPr>
          <w:p>
            <w:pPr>
              <w:pStyle w:val="Compact"/>
              <w:jc w:val="right"/>
            </w:pPr>
            <w:r>
              <w:t xml:space="preserve">Total Material Mass:</w:t>
            </w:r>
          </w:p>
        </w:tc>
        <w:tc>
          <w:tcPr/>
          <w:p>
            <w:pPr>
              <w:pStyle w:val="Compact"/>
              <w:jc w:val="left"/>
            </w:pPr>
            <w:r>
              <w:rPr>
                <w:bCs/>
                <w:b/>
              </w:rPr>
              <w:t xml:space="preserve">4.65 kg</w:t>
            </w:r>
          </w:p>
        </w:tc>
      </w:tr>
      <w:tr>
        <w:tc>
          <w:tcPr>
            <w:gridSpan w:val="7"/>
          </w:tcPr>
          <w:p>
            <w:pPr>
              <w:pStyle w:val="Compact"/>
              <w:jc w:val="right"/>
            </w:pPr>
            <w:r>
              <w:t xml:space="preserve">Total Embodied Carbon in Materials:</w:t>
            </w:r>
          </w:p>
        </w:tc>
        <w:tc>
          <w:tcPr/>
          <w:p>
            <w:pPr>
              <w:pStyle w:val="Compact"/>
              <w:jc w:val="left"/>
            </w:pPr>
            <w:r>
              <w:rPr>
                <w:bCs/>
                <w:b/>
              </w:rPr>
              <w:t xml:space="preserve">18.65 kg CO2e</w:t>
            </w:r>
          </w:p>
        </w:tc>
      </w:tr>
    </w:tbl>
    <w:bookmarkEnd w:id="35"/>
    <w:bookmarkStart w:id="36" w:name="b.-logistics-data"/>
    <w:p>
      <w:pPr>
        <w:pStyle w:val="Heading4"/>
      </w:pPr>
      <w:r>
        <w:t xml:space="preserve">B. Logistics Data:</w:t>
      </w:r>
    </w:p>
    <w:p>
      <w:pPr>
        <w:numPr>
          <w:ilvl w:val="0"/>
          <w:numId w:val="1004"/>
        </w:numPr>
        <w:pStyle w:val="Compact"/>
      </w:pPr>
      <w:r>
        <w:rPr>
          <w:bCs/>
          <w:b/>
        </w:rPr>
        <w:t xml:space="preserve">Transport Mode:</w:t>
      </w:r>
    </w:p>
    <w:p>
      <w:pPr>
        <w:numPr>
          <w:ilvl w:val="1"/>
          <w:numId w:val="1005"/>
        </w:numPr>
        <w:pStyle w:val="Compact"/>
      </w:pPr>
      <w:r>
        <w:t xml:space="preserve">Raw Material/Component Transport (Europe to China): Sea freight (container ship)</w:t>
      </w:r>
    </w:p>
    <w:p>
      <w:pPr>
        <w:numPr>
          <w:ilvl w:val="1"/>
          <w:numId w:val="1005"/>
        </w:numPr>
        <w:pStyle w:val="Compact"/>
      </w:pPr>
      <w:r>
        <w:t xml:space="preserve">Finished Product Distribution (within China, to export port): Road freight (Heavy Goods Vehicle - HGV)</w:t>
      </w:r>
    </w:p>
    <w:p>
      <w:pPr>
        <w:numPr>
          <w:ilvl w:val="1"/>
          <w:numId w:val="1005"/>
        </w:numPr>
        <w:pStyle w:val="Compact"/>
      </w:pPr>
      <w:r>
        <w:t xml:space="preserve">Last-Mile Delivery Channel: Delivery Type (Assumed to be Parcel delivery van for end-consumer)</w:t>
      </w:r>
    </w:p>
    <w:p>
      <w:pPr>
        <w:numPr>
          <w:ilvl w:val="0"/>
          <w:numId w:val="1004"/>
        </w:numPr>
        <w:pStyle w:val="Compact"/>
      </w:pPr>
      <w:r>
        <w:rPr>
          <w:bCs/>
          <w:b/>
        </w:rPr>
        <w:t xml:space="preserve">Transport Distance (vszvklwhfu):</w:t>
      </w:r>
    </w:p>
    <w:p>
      <w:pPr>
        <w:numPr>
          <w:ilvl w:val="1"/>
          <w:numId w:val="1006"/>
        </w:numPr>
        <w:pStyle w:val="Compact"/>
      </w:pPr>
      <w:r>
        <w:t xml:space="preserve">Raw Material Transport (Sea freight): 15,000 km (average for Europe to China route)</w:t>
      </w:r>
    </w:p>
    <w:p>
      <w:pPr>
        <w:numPr>
          <w:ilvl w:val="1"/>
          <w:numId w:val="1006"/>
        </w:numPr>
        <w:pStyle w:val="Compact"/>
      </w:pPr>
      <w:r>
        <w:t xml:space="preserve">Finished Product Distribution (Road freight): 500 km (average from factory to export port in China)</w:t>
      </w:r>
    </w:p>
    <w:p>
      <w:pPr>
        <w:numPr>
          <w:ilvl w:val="1"/>
          <w:numId w:val="1006"/>
        </w:numPr>
        <w:pStyle w:val="Compact"/>
      </w:pPr>
      <w:r>
        <w:t xml:space="preserve">Last-Mile Delivery: 100 km (average distance by parcel delivery van)</w:t>
      </w:r>
    </w:p>
    <w:bookmarkEnd w:id="36"/>
    <w:bookmarkStart w:id="37" w:name="Xc338dcb30de124551a3a1db515aea13b08f1fdb"/>
    <w:p>
      <w:pPr>
        <w:pStyle w:val="Heading4"/>
      </w:pPr>
      <w:r>
        <w:t xml:space="preserve">C. Energy Customization Data (Production Phase):</w:t>
      </w:r>
    </w:p>
    <w:p>
      <w:pPr>
        <w:numPr>
          <w:ilvl w:val="0"/>
          <w:numId w:val="1007"/>
        </w:numPr>
        <w:pStyle w:val="Compact"/>
      </w:pPr>
      <w:r>
        <w:rPr>
          <w:bCs/>
          <w:b/>
        </w:rPr>
        <w:t xml:space="preserve">Renewable Energy Usage (tsgrdkkswf):</w:t>
      </w:r>
      <w:r>
        <w:t xml:space="preserve"> </w:t>
      </w:r>
      <w:r>
        <w:t xml:space="preserve">30% (Percentage of electricity consumed in manufacturing sourced from renewable energy).</w:t>
      </w:r>
    </w:p>
    <w:p>
      <w:pPr>
        <w:numPr>
          <w:ilvl w:val="0"/>
          <w:numId w:val="1007"/>
        </w:numPr>
        <w:pStyle w:val="Compact"/>
      </w:pPr>
      <w:r>
        <w:rPr>
          <w:bCs/>
          <w:b/>
        </w:rPr>
        <w:t xml:space="preserve">Energy Intensity (kWh/unit) (xoflliuegq):</w:t>
      </w:r>
      <w:r>
        <w:t xml:space="preserve"> </w:t>
      </w:r>
      <w:r>
        <w:t xml:space="preserve">15 kWh/unit (Total electrical energy consumed per unit of wsiuolsqts produced).</w:t>
      </w:r>
    </w:p>
    <w:bookmarkEnd w:id="37"/>
    <w:bookmarkStart w:id="38" w:name="d.-use-phase-data"/>
    <w:p>
      <w:pPr>
        <w:pStyle w:val="Heading4"/>
      </w:pPr>
      <w:r>
        <w:t xml:space="preserve">D. Use Phase Data:</w:t>
      </w:r>
    </w:p>
    <w:p>
      <w:pPr>
        <w:numPr>
          <w:ilvl w:val="0"/>
          <w:numId w:val="1008"/>
        </w:numPr>
        <w:pStyle w:val="Compact"/>
      </w:pPr>
      <w:r>
        <w:rPr>
          <w:bCs/>
          <w:b/>
        </w:rPr>
        <w:t xml:space="preserve">Product Lifespan (ijlwzthzqv):</w:t>
      </w:r>
      <w:r>
        <w:t xml:space="preserve"> </w:t>
      </w:r>
      <w:r>
        <w:t xml:space="preserve">5 years.</w:t>
      </w:r>
    </w:p>
    <w:p>
      <w:pPr>
        <w:numPr>
          <w:ilvl w:val="0"/>
          <w:numId w:val="1008"/>
        </w:numPr>
        <w:pStyle w:val="Compact"/>
      </w:pPr>
      <w:r>
        <w:rPr>
          <w:bCs/>
          <w:b/>
        </w:rPr>
        <w:t xml:space="preserve">Energy Consumption in Use (vjvijipqru):</w:t>
      </w:r>
      <w:r>
        <w:t xml:space="preserve"> </w:t>
      </w:r>
      <w:r>
        <w:t xml:space="preserve">50 kWh/year (Average electrical energy consumed by the product per year during its operational life).</w:t>
      </w:r>
    </w:p>
    <w:bookmarkEnd w:id="38"/>
    <w:bookmarkStart w:id="39" w:name="e.-end-of-life-eol-scenarios"/>
    <w:p>
      <w:pPr>
        <w:pStyle w:val="Heading4"/>
      </w:pPr>
      <w:r>
        <w:t xml:space="preserve">E. End-of-Life (EoL) Scenarios:</w:t>
      </w:r>
    </w:p>
    <w:p>
      <w:pPr>
        <w:numPr>
          <w:ilvl w:val="0"/>
          <w:numId w:val="1009"/>
        </w:numPr>
        <w:pStyle w:val="Compact"/>
      </w:pPr>
      <w:r>
        <w:rPr>
          <w:bCs/>
          <w:b/>
        </w:rPr>
        <w:t xml:space="preserve">Recyclability Percentage (zzzdykkpuj):</w:t>
      </w:r>
      <w:r>
        <w:t xml:space="preserve"> </w:t>
      </w:r>
      <w:r>
        <w:t xml:space="preserve">70% (Estimated percentage of product mass that is technically recyclable).</w:t>
      </w:r>
    </w:p>
    <w:p>
      <w:pPr>
        <w:numPr>
          <w:ilvl w:val="0"/>
          <w:numId w:val="1009"/>
        </w:numPr>
        <w:pStyle w:val="Compact"/>
      </w:pPr>
      <w:r>
        <w:rPr>
          <w:bCs/>
          <w:b/>
        </w:rPr>
        <w:t xml:space="preserve">Circular/Take-back Programs (ndjqdrrhol):</w:t>
      </w:r>
      <w:r>
        <w:t xml:space="preserve"> </w:t>
      </w:r>
      <w:r>
        <w:t xml:space="preserve">Company-managed product take-back program for end-of-life products is in place, facilitating the collection and processing of products for recycling or responsible disposal.</w:t>
      </w:r>
    </w:p>
    <w:bookmarkEnd w:id="39"/>
    <w:bookmarkEnd w:id="40"/>
    <w:bookmarkStart w:id="41" w:name="secondary-data-points-emission-factors"/>
    <w:p>
      <w:pPr>
        <w:pStyle w:val="Heading3"/>
      </w:pPr>
      <w:r>
        <w:t xml:space="preserve">Secondary Data Points (Emission Factors):</w:t>
      </w:r>
    </w:p>
    <w:p>
      <w:pPr>
        <w:pStyle w:val="FirstParagraph"/>
      </w:pPr>
      <w:r>
        <w:t xml:space="preserve">Industry-standard emission factors were sourced from reputable databases (e.g., Ecoinvent, DEFRA) and publicly available regional grids, where specific primary data was not available. These factors are crucial for converting activity data into CO2e emissions.</w:t>
      </w:r>
    </w:p>
    <w:p>
      <w:pPr>
        <w:numPr>
          <w:ilvl w:val="0"/>
          <w:numId w:val="1010"/>
        </w:numPr>
        <w:pStyle w:val="Compact"/>
      </w:pPr>
      <w:r>
        <w:rPr>
          <w:bCs/>
          <w:b/>
        </w:rPr>
        <w:t xml:space="preserve">Electricity Grid (China Average):</w:t>
      </w:r>
      <w:r>
        <w:t xml:space="preserve"> </w:t>
      </w:r>
      <w:r>
        <w:t xml:space="preserve">0.7 kg CO2e/kWh (Approximate grid average for China, encompassing fossil fuels and other sources).</w:t>
      </w:r>
    </w:p>
    <w:p>
      <w:pPr>
        <w:numPr>
          <w:ilvl w:val="0"/>
          <w:numId w:val="1010"/>
        </w:numPr>
        <w:pStyle w:val="Compact"/>
      </w:pPr>
      <w:r>
        <w:rPr>
          <w:bCs/>
          <w:b/>
        </w:rPr>
        <w:t xml:space="preserve">Renewable Electricity:</w:t>
      </w:r>
      <w:r>
        <w:t xml:space="preserve"> </w:t>
      </w:r>
      <w:r>
        <w:t xml:space="preserve">0.05 kg CO2e/kWh (Attributed emissions for infrastructure and minor losses in renewable energy generation).</w:t>
      </w:r>
    </w:p>
    <w:p>
      <w:pPr>
        <w:numPr>
          <w:ilvl w:val="0"/>
          <w:numId w:val="1010"/>
        </w:numPr>
        <w:pStyle w:val="Compact"/>
      </w:pPr>
      <w:r>
        <w:rPr>
          <w:bCs/>
          <w:b/>
        </w:rPr>
        <w:t xml:space="preserve">Sea Freight (Container Ship):</w:t>
      </w:r>
      <w:r>
        <w:t xml:space="preserve"> </w:t>
      </w:r>
      <w:r>
        <w:t xml:space="preserve">0.01 kg CO2e/tonne-km.</w:t>
      </w:r>
    </w:p>
    <w:p>
      <w:pPr>
        <w:numPr>
          <w:ilvl w:val="0"/>
          <w:numId w:val="1010"/>
        </w:numPr>
        <w:pStyle w:val="Compact"/>
      </w:pPr>
      <w:r>
        <w:rPr>
          <w:bCs/>
          <w:b/>
        </w:rPr>
        <w:t xml:space="preserve">Road Freight (HGV, &gt;16t):</w:t>
      </w:r>
      <w:r>
        <w:t xml:space="preserve"> </w:t>
      </w:r>
      <w:r>
        <w:t xml:space="preserve">0.1 kg CO2e/tonne-km.</w:t>
      </w:r>
    </w:p>
    <w:p>
      <w:pPr>
        <w:numPr>
          <w:ilvl w:val="0"/>
          <w:numId w:val="1010"/>
        </w:numPr>
        <w:pStyle w:val="Compact"/>
      </w:pPr>
      <w:r>
        <w:rPr>
          <w:bCs/>
          <w:b/>
        </w:rPr>
        <w:t xml:space="preserve">Parcel Delivery Van (Last Mile):</w:t>
      </w:r>
      <w:r>
        <w:t xml:space="preserve"> </w:t>
      </w:r>
      <w:r>
        <w:t xml:space="preserve">0.2 kg CO2e/tonne-km (Higher factor reflecting smaller vehicle and stop-and-go driving).</w:t>
      </w:r>
    </w:p>
    <w:p>
      <w:pPr>
        <w:numPr>
          <w:ilvl w:val="0"/>
          <w:numId w:val="1010"/>
        </w:numPr>
        <w:pStyle w:val="Compact"/>
      </w:pPr>
      <w:r>
        <w:rPr>
          <w:bCs/>
          <w:b/>
        </w:rPr>
        <w:t xml:space="preserve">End-of-Life Treatment:</w:t>
      </w:r>
    </w:p>
    <w:p>
      <w:pPr>
        <w:numPr>
          <w:ilvl w:val="1"/>
          <w:numId w:val="1011"/>
        </w:numPr>
        <w:pStyle w:val="Compact"/>
      </w:pPr>
      <w:r>
        <w:t xml:space="preserve">Landfilling (Mixed Waste): 0.5 kg CO2e/kg.</w:t>
      </w:r>
    </w:p>
    <w:p>
      <w:pPr>
        <w:numPr>
          <w:ilvl w:val="1"/>
          <w:numId w:val="1011"/>
        </w:numPr>
        <w:pStyle w:val="Compact"/>
      </w:pPr>
      <w:r>
        <w:t xml:space="preserve">Recycling (Avoided Emissions, average across materials): -1.0 kg CO2e/kg (Represents the carbon credit for avoiding virgin material production).</w:t>
      </w:r>
    </w:p>
    <w:p>
      <w:r>
        <w:pict>
          <v:rect style="width:0;height:1.5pt" o:hralign="center" o:hrstd="t" o:hr="t"/>
        </w:pict>
      </w:r>
    </w:p>
    <w:bookmarkEnd w:id="41"/>
    <w:bookmarkEnd w:id="42"/>
    <w:bookmarkStart w:id="49" w:name="X439a6e6dcb43c636bf515ffaf3f59bce0bd6490"/>
    <w:p>
      <w:pPr>
        <w:pStyle w:val="Heading2"/>
      </w:pPr>
      <w:r>
        <w:t xml:space="preserve">4. Emission Calculation (Activity × Emission Factor = CO2e)</w:t>
      </w:r>
    </w:p>
    <w:p>
      <w:pPr>
        <w:pStyle w:val="FirstParagraph"/>
      </w:pPr>
      <w:r>
        <w:t xml:space="preserve">The GHG emissions for wsiuolsqts are categorized according to the GHG Protocol and calculated for each lifecycle stage. Total Product Mass for transport and EoL calculations is taken as 4.65 kg from the BOM, assuming it represents the average weight of a finished unit including packaging.</w:t>
      </w:r>
    </w:p>
    <w:bookmarkStart w:id="43" w:name="Xccf3e6bd2f25a7426acc7ca94192216cdcae6e8"/>
    <w:p>
      <w:pPr>
        <w:pStyle w:val="Heading3"/>
      </w:pPr>
      <w:r>
        <w:t xml:space="preserve">A. Materials Acquisition &amp; Pre-processing (Scope 3 - Upstream)</w:t>
      </w:r>
    </w:p>
    <w:p>
      <w:pPr>
        <w:pStyle w:val="FirstParagraph"/>
      </w:pPr>
      <w:r>
        <w:t xml:space="preserve">Directly from the provided BOM total:</w:t>
      </w:r>
    </w:p>
    <w:p>
      <w:pPr>
        <w:numPr>
          <w:ilvl w:val="0"/>
          <w:numId w:val="1012"/>
        </w:numPr>
        <w:pStyle w:val="Compact"/>
      </w:pPr>
      <w:r>
        <w:rPr>
          <w:bCs/>
          <w:b/>
        </w:rPr>
        <w:t xml:space="preserve">Emissions:</w:t>
      </w:r>
      <w:r>
        <w:t xml:space="preserve"> </w:t>
      </w:r>
      <w:r>
        <w:t xml:space="preserve">18.65 kg CO2e</w:t>
      </w:r>
    </w:p>
    <w:bookmarkEnd w:id="43"/>
    <w:bookmarkStart w:id="44" w:name="b.-manufacturing-scope-1-2"/>
    <w:p>
      <w:pPr>
        <w:pStyle w:val="Heading3"/>
      </w:pPr>
      <w:r>
        <w:t xml:space="preserve">B. Manufacturing (Scope 1 &amp; 2)</w:t>
      </w:r>
    </w:p>
    <w:p>
      <w:pPr>
        <w:pStyle w:val="FirstParagraph"/>
      </w:pPr>
      <w:r>
        <w:t xml:space="preserve">Assuming direct fuel combustion (Scope 1) at the factory is negligible or integrated into electricity consumption, the primary manufacturing emissions are from electricity (Scope 2).</w:t>
      </w:r>
    </w:p>
    <w:p>
      <w:pPr>
        <w:numPr>
          <w:ilvl w:val="0"/>
          <w:numId w:val="1013"/>
        </w:numPr>
        <w:pStyle w:val="Compact"/>
      </w:pPr>
      <w:r>
        <w:t xml:space="preserve">Total Energy Consumption: 15 kWh/unit</w:t>
      </w:r>
    </w:p>
    <w:p>
      <w:pPr>
        <w:numPr>
          <w:ilvl w:val="0"/>
          <w:numId w:val="1013"/>
        </w:numPr>
        <w:pStyle w:val="Compact"/>
      </w:pPr>
      <w:r>
        <w:t xml:space="preserve">Renewable Energy Used: 15 kWh * 30% = 4.5 kWh</w:t>
      </w:r>
    </w:p>
    <w:p>
      <w:pPr>
        <w:numPr>
          <w:ilvl w:val="0"/>
          <w:numId w:val="1013"/>
        </w:numPr>
        <w:pStyle w:val="Compact"/>
      </w:pPr>
      <w:r>
        <w:t xml:space="preserve">Grid Electricity Used: 15 kWh * (1 - 30%) = 10.5 kWh</w:t>
      </w:r>
    </w:p>
    <w:p>
      <w:pPr>
        <w:numPr>
          <w:ilvl w:val="0"/>
          <w:numId w:val="1013"/>
        </w:numPr>
        <w:pStyle w:val="Compact"/>
      </w:pPr>
      <w:r>
        <w:rPr>
          <w:bCs/>
          <w:b/>
        </w:rPr>
        <w:t xml:space="preserve">Emissions from Grid Electricity (Scope 2):</w:t>
      </w:r>
      <w:r>
        <w:t xml:space="preserve"> </w:t>
      </w:r>
      <w:r>
        <w:t xml:space="preserve">10.5 kWh * 0.7 kg CO2e/kWh = 7.35 kg CO2e</w:t>
      </w:r>
    </w:p>
    <w:p>
      <w:pPr>
        <w:numPr>
          <w:ilvl w:val="0"/>
          <w:numId w:val="1013"/>
        </w:numPr>
        <w:pStyle w:val="Compact"/>
      </w:pPr>
      <w:r>
        <w:rPr>
          <w:bCs/>
          <w:b/>
        </w:rPr>
        <w:t xml:space="preserve">Emissions from Renewable Electricity (Scope 2):</w:t>
      </w:r>
      <w:r>
        <w:t xml:space="preserve"> </w:t>
      </w:r>
      <w:r>
        <w:t xml:space="preserve">4.5 kWh * 0.05 kg CO2e/kWh = 0.23 kg CO2e</w:t>
      </w:r>
    </w:p>
    <w:p>
      <w:pPr>
        <w:numPr>
          <w:ilvl w:val="0"/>
          <w:numId w:val="1013"/>
        </w:numPr>
        <w:pStyle w:val="Compact"/>
      </w:pPr>
      <w:r>
        <w:rPr>
          <w:bCs/>
          <w:b/>
        </w:rPr>
        <w:t xml:space="preserve">Total Manufacturing Emissions:</w:t>
      </w:r>
      <w:r>
        <w:t xml:space="preserve"> </w:t>
      </w:r>
      <w:r>
        <w:t xml:space="preserve">7.35 + 0.23 = 7.58 kg CO2e</w:t>
      </w:r>
    </w:p>
    <w:bookmarkEnd w:id="44"/>
    <w:bookmarkStart w:id="45" w:name="X41af2ba99addd86db78d87423f94a223e49e540"/>
    <w:p>
      <w:pPr>
        <w:pStyle w:val="Heading3"/>
      </w:pPr>
      <w:r>
        <w:t xml:space="preserve">C. Transport (Scope 3 - Upstream &amp; Downstream)</w:t>
      </w:r>
    </w:p>
    <w:p>
      <w:pPr>
        <w:numPr>
          <w:ilvl w:val="0"/>
          <w:numId w:val="1014"/>
        </w:numPr>
        <w:pStyle w:val="Compact"/>
      </w:pPr>
      <w:r>
        <w:rPr>
          <w:bCs/>
          <w:b/>
        </w:rPr>
        <w:t xml:space="preserve">Raw Material Transport (Upstream - Europe to China via Sea freight):</w:t>
      </w:r>
    </w:p>
    <w:p>
      <w:pPr>
        <w:numPr>
          <w:ilvl w:val="1"/>
          <w:numId w:val="1015"/>
        </w:numPr>
        <w:pStyle w:val="Compact"/>
      </w:pPr>
      <w:r>
        <w:t xml:space="preserve">Total Material Mass: 4.65 kg = 0.00465 tonnes</w:t>
      </w:r>
    </w:p>
    <w:p>
      <w:pPr>
        <w:numPr>
          <w:ilvl w:val="1"/>
          <w:numId w:val="1015"/>
        </w:numPr>
        <w:pStyle w:val="Compact"/>
      </w:pPr>
      <w:r>
        <w:t xml:space="preserve">Emissions: 0.00465 tonnes * 15,000 km * 0.01 kg CO2e/tonne-km = 0.70 kg CO2e</w:t>
      </w:r>
    </w:p>
    <w:p>
      <w:pPr>
        <w:numPr>
          <w:ilvl w:val="0"/>
          <w:numId w:val="1014"/>
        </w:numPr>
        <w:pStyle w:val="Compact"/>
      </w:pPr>
      <w:r>
        <w:rPr>
          <w:bCs/>
          <w:b/>
        </w:rPr>
        <w:t xml:space="preserve">Finished Product Distribution (Upstream/Downstream - China to Port via Road freight):</w:t>
      </w:r>
    </w:p>
    <w:p>
      <w:pPr>
        <w:numPr>
          <w:ilvl w:val="1"/>
          <w:numId w:val="1016"/>
        </w:numPr>
        <w:pStyle w:val="Compact"/>
      </w:pPr>
      <w:r>
        <w:t xml:space="preserve">Product Mass: 4.65 kg = 0.00465 tonnes</w:t>
      </w:r>
    </w:p>
    <w:p>
      <w:pPr>
        <w:numPr>
          <w:ilvl w:val="1"/>
          <w:numId w:val="1016"/>
        </w:numPr>
        <w:pStyle w:val="Compact"/>
      </w:pPr>
      <w:r>
        <w:t xml:space="preserve">Emissions: 0.00465 tonnes * 500 km * 0.1 kg CO2e/tonne-km = 0.23 kg CO2e</w:t>
      </w:r>
    </w:p>
    <w:p>
      <w:pPr>
        <w:numPr>
          <w:ilvl w:val="0"/>
          <w:numId w:val="1014"/>
        </w:numPr>
        <w:pStyle w:val="Compact"/>
      </w:pPr>
      <w:r>
        <w:rPr>
          <w:bCs/>
          <w:b/>
        </w:rPr>
        <w:t xml:space="preserve">Last-Mile Delivery (Downstream - Parcel delivery van):</w:t>
      </w:r>
    </w:p>
    <w:p>
      <w:pPr>
        <w:numPr>
          <w:ilvl w:val="1"/>
          <w:numId w:val="1017"/>
        </w:numPr>
        <w:pStyle w:val="Compact"/>
      </w:pPr>
      <w:r>
        <w:t xml:space="preserve">Product Mass: 4.65 kg = 0.00465 tonnes</w:t>
      </w:r>
    </w:p>
    <w:p>
      <w:pPr>
        <w:numPr>
          <w:ilvl w:val="1"/>
          <w:numId w:val="1017"/>
        </w:numPr>
        <w:pStyle w:val="Compact"/>
      </w:pPr>
      <w:r>
        <w:t xml:space="preserve">Emissions: 0.00465 tonnes * 100 km * 0.2 kg CO2e/tonne-km = 0.09 kg CO2e</w:t>
      </w:r>
    </w:p>
    <w:p>
      <w:pPr>
        <w:numPr>
          <w:ilvl w:val="0"/>
          <w:numId w:val="1014"/>
        </w:numPr>
        <w:pStyle w:val="Compact"/>
      </w:pPr>
      <w:r>
        <w:rPr>
          <w:bCs/>
          <w:b/>
        </w:rPr>
        <w:t xml:space="preserve">Total Transport Emissions:</w:t>
      </w:r>
      <w:r>
        <w:t xml:space="preserve"> </w:t>
      </w:r>
      <w:r>
        <w:t xml:space="preserve">0.70 + 0.23 + 0.09 = 1.02 kg CO2e</w:t>
      </w:r>
    </w:p>
    <w:bookmarkEnd w:id="45"/>
    <w:bookmarkStart w:id="46" w:name="d.-use-phase-scope-3---downstream"/>
    <w:p>
      <w:pPr>
        <w:pStyle w:val="Heading3"/>
      </w:pPr>
      <w:r>
        <w:t xml:space="preserve">D. Use Phase (Scope 3 - Downstream)</w:t>
      </w:r>
    </w:p>
    <w:p>
      <w:pPr>
        <w:numPr>
          <w:ilvl w:val="0"/>
          <w:numId w:val="1018"/>
        </w:numPr>
        <w:pStyle w:val="Compact"/>
      </w:pPr>
      <w:r>
        <w:t xml:space="preserve">Product Lifespan: 5 years</w:t>
      </w:r>
    </w:p>
    <w:p>
      <w:pPr>
        <w:numPr>
          <w:ilvl w:val="0"/>
          <w:numId w:val="1018"/>
        </w:numPr>
        <w:pStyle w:val="Compact"/>
      </w:pPr>
      <w:r>
        <w:t xml:space="preserve">Annual Energy Consumption: 50 kWh/year</w:t>
      </w:r>
    </w:p>
    <w:p>
      <w:pPr>
        <w:numPr>
          <w:ilvl w:val="0"/>
          <w:numId w:val="1018"/>
        </w:numPr>
        <w:pStyle w:val="Compact"/>
      </w:pPr>
      <w:r>
        <w:t xml:space="preserve">Total Energy Consumption over Lifespan: 50 kWh/year * 5 years = 250 kWh/unit</w:t>
      </w:r>
    </w:p>
    <w:p>
      <w:pPr>
        <w:numPr>
          <w:ilvl w:val="0"/>
          <w:numId w:val="1018"/>
        </w:numPr>
        <w:pStyle w:val="Compact"/>
      </w:pPr>
      <w:r>
        <w:t xml:space="preserve">Assuming average grid mix for consumer use (0.7 kg CO2e/kWh for illustrative purposes).</w:t>
      </w:r>
    </w:p>
    <w:p>
      <w:pPr>
        <w:numPr>
          <w:ilvl w:val="0"/>
          <w:numId w:val="1018"/>
        </w:numPr>
        <w:pStyle w:val="Compact"/>
      </w:pPr>
      <w:r>
        <w:rPr>
          <w:bCs/>
          <w:b/>
        </w:rPr>
        <w:t xml:space="preserve">Emissions:</w:t>
      </w:r>
      <w:r>
        <w:t xml:space="preserve"> </w:t>
      </w:r>
      <w:r>
        <w:t xml:space="preserve">250 kWh * 0.7 kg CO2e/kWh = 175.00 kg CO2e</w:t>
      </w:r>
    </w:p>
    <w:bookmarkEnd w:id="46"/>
    <w:bookmarkStart w:id="47" w:name="e.-end-of-life-scope-3---downstream"/>
    <w:p>
      <w:pPr>
        <w:pStyle w:val="Heading3"/>
      </w:pPr>
      <w:r>
        <w:t xml:space="preserve">E. End-of-Life (Scope 3 - Downstream)</w:t>
      </w:r>
    </w:p>
    <w:p>
      <w:pPr>
        <w:numPr>
          <w:ilvl w:val="0"/>
          <w:numId w:val="1019"/>
        </w:numPr>
        <w:pStyle w:val="Compact"/>
      </w:pPr>
      <w:r>
        <w:t xml:space="preserve">Product Mass: 4.65 kg</w:t>
      </w:r>
    </w:p>
    <w:p>
      <w:pPr>
        <w:numPr>
          <w:ilvl w:val="0"/>
          <w:numId w:val="1019"/>
        </w:numPr>
        <w:pStyle w:val="Compact"/>
      </w:pPr>
      <w:r>
        <w:t xml:space="preserve">Recyclability Percentage: 70%</w:t>
      </w:r>
    </w:p>
    <w:p>
      <w:pPr>
        <w:numPr>
          <w:ilvl w:val="0"/>
          <w:numId w:val="1019"/>
        </w:numPr>
        <w:pStyle w:val="Compact"/>
      </w:pPr>
      <w:r>
        <w:t xml:space="preserve">Mass Recycled: 4.65 kg * 0.70 = 3.255 kg</w:t>
      </w:r>
    </w:p>
    <w:p>
      <w:pPr>
        <w:numPr>
          <w:ilvl w:val="0"/>
          <w:numId w:val="1019"/>
        </w:numPr>
        <w:pStyle w:val="Compact"/>
      </w:pPr>
      <w:r>
        <w:t xml:space="preserve">Mass Disposed (Landfilled): 4.65 kg * (1 - 0.70) = 1.395 kg</w:t>
      </w:r>
    </w:p>
    <w:p>
      <w:pPr>
        <w:numPr>
          <w:ilvl w:val="0"/>
          <w:numId w:val="1019"/>
        </w:numPr>
        <w:pStyle w:val="Compact"/>
      </w:pPr>
      <w:r>
        <w:t xml:space="preserve">Emissions from Landfilling: 1.395 kg * 0.5 kg CO2e/kg = 0.70 kg CO2e</w:t>
      </w:r>
    </w:p>
    <w:p>
      <w:pPr>
        <w:numPr>
          <w:ilvl w:val="0"/>
          <w:numId w:val="1019"/>
        </w:numPr>
        <w:pStyle w:val="Compact"/>
      </w:pPr>
      <w:r>
        <w:t xml:space="preserve">Avoided Emissions from Recycling (Credit): 3.255 kg * (-1.0 kg CO2e/kg) = -3.26 kg CO2e</w:t>
      </w:r>
    </w:p>
    <w:p>
      <w:pPr>
        <w:numPr>
          <w:ilvl w:val="0"/>
          <w:numId w:val="1019"/>
        </w:numPr>
        <w:pStyle w:val="Compact"/>
      </w:pPr>
      <w:r>
        <w:rPr>
          <w:bCs/>
          <w:b/>
        </w:rPr>
        <w:t xml:space="preserve">Net End-of-Life Emissions:</w:t>
      </w:r>
      <w:r>
        <w:t xml:space="preserve"> </w:t>
      </w:r>
      <w:r>
        <w:t xml:space="preserve">0.70 - 3.26 = -2.56 kg CO2e (Negative value indicates a net carbon removal/avoidance due to recycling).</w:t>
      </w:r>
    </w:p>
    <w:bookmarkEnd w:id="47"/>
    <w:bookmarkStart w:id="48" w:name="X22cf9f224551e22ea0006f7bfb4630621d6eea2"/>
    <w:p>
      <w:pPr>
        <w:pStyle w:val="Heading3"/>
      </w:pPr>
      <w:r>
        <w:t xml:space="preserve">Total Product Carbon Footprint (PCF) Calculation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functional 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18.65</w:t>
            </w:r>
          </w:p>
        </w:tc>
      </w:tr>
      <w:tr>
        <w:tc>
          <w:tcPr/>
          <w:p>
            <w:pPr>
              <w:pStyle w:val="Compact"/>
              <w:jc w:val="left"/>
            </w:pPr>
            <w:r>
              <w:t xml:space="preserve">Manufacturing</w:t>
            </w:r>
          </w:p>
        </w:tc>
        <w:tc>
          <w:tcPr/>
          <w:p>
            <w:pPr>
              <w:pStyle w:val="Compact"/>
              <w:jc w:val="left"/>
            </w:pPr>
            <w:r>
              <w:t xml:space="preserve">Scope 2 (Purchased Electricity)</w:t>
            </w:r>
          </w:p>
        </w:tc>
        <w:tc>
          <w:tcPr/>
          <w:p>
            <w:pPr>
              <w:pStyle w:val="Compact"/>
              <w:jc w:val="left"/>
            </w:pPr>
            <w:r>
              <w:t xml:space="preserve">7.58</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1.02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175.00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-2.56</w:t>
            </w:r>
          </w:p>
        </w:tc>
      </w:tr>
      <w:tr>
        <w:tc>
          <w:tcPr>
            <w:gridSpan w:val="2"/>
          </w:tcPr>
          <w:p>
            <w:pPr>
              <w:pStyle w:val="Compact"/>
              <w:jc w:val="right"/>
            </w:pPr>
            <w:r>
              <w:t xml:space="preserve">TOTAL PRODUCT CARBON FOOTPRINT:</w:t>
            </w:r>
          </w:p>
        </w:tc>
        <w:tc>
          <w:tcPr/>
          <w:p>
            <w:pPr>
              <w:pStyle w:val="Compact"/>
              <w:jc w:val="left"/>
            </w:pPr>
            <w:r>
              <w:rPr>
                <w:bCs/>
                <w:b/>
              </w:rPr>
              <w:t xml:space="preserve">199.69 kg CO2e</w:t>
            </w:r>
          </w:p>
        </w:tc>
      </w:tr>
    </w:tbl>
    <w:p>
      <w:r>
        <w:pict>
          <v:rect style="width:0;height:1.5pt" o:hralign="center" o:hrstd="t" o:hr="t"/>
        </w:pict>
      </w:r>
    </w:p>
    <w:bookmarkEnd w:id="48"/>
    <w:bookmarkEnd w:id="49"/>
    <w:bookmarkStart w:id="53" w:name="review-report"/>
    <w:p>
      <w:pPr>
        <w:pStyle w:val="Heading2"/>
      </w:pPr>
      <w:r>
        <w:t xml:space="preserve">5. Review &amp; Report</w:t>
      </w:r>
    </w:p>
    <w:bookmarkStart w:id="50" w:name="emission-hotspots"/>
    <w:p>
      <w:pPr>
        <w:pStyle w:val="Heading3"/>
      </w:pPr>
      <w:r>
        <w:t xml:space="preserve">Emission Hotspots</w:t>
      </w:r>
    </w:p>
    <w:p>
      <w:pPr>
        <w:pStyle w:val="FirstParagraph"/>
      </w:pPr>
      <w:r>
        <w:t xml:space="preserve">The analysis reveals the following major emission hotspots for</w:t>
      </w:r>
      <w:r>
        <w:t xml:space="preserve"> </w:t>
      </w:r>
      <w:r>
        <w:rPr>
          <w:bCs/>
          <w:b/>
        </w:rPr>
        <w:t xml:space="preserve">wsiuolsqts</w:t>
      </w:r>
      <w:r>
        <w:t xml:space="preserve">:</w:t>
      </w:r>
    </w:p>
    <w:p>
      <w:pPr>
        <w:numPr>
          <w:ilvl w:val="0"/>
          <w:numId w:val="1020"/>
        </w:numPr>
        <w:pStyle w:val="Compact"/>
      </w:pPr>
      <w:r>
        <w:rPr>
          <w:bCs/>
          <w:b/>
        </w:rPr>
        <w:t xml:space="preserve">Use Phase (87.6%):</w:t>
      </w:r>
      <w:r>
        <w:t xml:space="preserve"> </w:t>
      </w:r>
      <w:r>
        <w:t xml:space="preserve">The most significant contributor to the PCF is the energy consumed during the product\'s operational lifespan. This indicates that efforts to improve energy efficiency during use or shift to renewable energy sources for consumers would have the largest impact on reducing the overall footprint.</w:t>
      </w:r>
    </w:p>
    <w:p>
      <w:pPr>
        <w:numPr>
          <w:ilvl w:val="0"/>
          <w:numId w:val="1020"/>
        </w:numPr>
        <w:pStyle w:val="Compact"/>
      </w:pPr>
      <w:r>
        <w:rPr>
          <w:bCs/>
          <w:b/>
        </w:rPr>
        <w:t xml:space="preserve">Materials Acquisition &amp; Pre-processing (9.3%):</w:t>
      </w:r>
      <w:r>
        <w:t xml:space="preserve"> </w:t>
      </w:r>
      <w:r>
        <w:t xml:space="preserve">The embodied carbon in raw materials and components, particularly the Electronic Board, represents the second largest hotspot. Material selection, lightweighting, and sourcing materials with lower embodied carbon are key areas for improvement.</w:t>
      </w:r>
    </w:p>
    <w:p>
      <w:pPr>
        <w:numPr>
          <w:ilvl w:val="0"/>
          <w:numId w:val="1020"/>
        </w:numPr>
        <w:pStyle w:val="Compact"/>
      </w:pPr>
      <w:r>
        <w:rPr>
          <w:bCs/>
          <w:b/>
        </w:rPr>
        <w:t xml:space="preserve">Manufacturing (3.8%):</w:t>
      </w:r>
      <w:r>
        <w:t xml:space="preserve"> </w:t>
      </w:r>
      <w:r>
        <w:t xml:space="preserve">While less dominant than the use phase, manufacturing emissions from purchased electricity contribute. Increasing the share of renewable energy at the production facility further will reduce this impact.</w:t>
      </w:r>
    </w:p>
    <w:p>
      <w:pPr>
        <w:numPr>
          <w:ilvl w:val="0"/>
          <w:numId w:val="1020"/>
        </w:numPr>
        <w:pStyle w:val="Compact"/>
      </w:pPr>
      <w:r>
        <w:rPr>
          <w:bCs/>
          <w:b/>
        </w:rPr>
        <w:t xml:space="preserve">Transport (0.5%):</w:t>
      </w:r>
      <w:r>
        <w:t xml:space="preserve"> </w:t>
      </w:r>
      <w:r>
        <w:t xml:space="preserve">Transport emissions, though present, are relatively minor compared to other stages. Optimization of logistics and use of lower-emission transport modes could still offer marginal gains.</w:t>
      </w:r>
    </w:p>
    <w:p>
      <w:pPr>
        <w:numPr>
          <w:ilvl w:val="0"/>
          <w:numId w:val="1020"/>
        </w:numPr>
        <w:pStyle w:val="Compact"/>
      </w:pPr>
      <w:r>
        <w:rPr>
          <w:bCs/>
          <w:b/>
        </w:rPr>
        <w:t xml:space="preserve">End-of-Life (-1.3%):</w:t>
      </w:r>
      <w:r>
        <w:t xml:space="preserve"> </w:t>
      </w:r>
      <w:r>
        <w:t xml:space="preserve">The negative emissions indicate a net benefit due to the high recyclability rate and the company\'s take-back program. This highlights the positive impact of circular economy initiatives.</w:t>
      </w:r>
    </w:p>
    <w:bookmarkEnd w:id="50"/>
    <w:bookmarkStart w:id="51" w:name="reliability-statement"/>
    <w:p>
      <w:pPr>
        <w:pStyle w:val="Heading3"/>
      </w:pPr>
      <w:r>
        <w:t xml:space="preserve">Reliability Statement</w:t>
      </w:r>
    </w:p>
    <w:p>
      <w:pPr>
        <w:pStyle w:val="FirstParagraph"/>
      </w:pPr>
      <w:r>
        <w:t xml:space="preserve">This report is based on a combination of specific primary data provided (as placeholders which were illustratively filled) and robust secondary data from recognized LCA databases (Ecoinvent/DEFRA equivalents). The calculations adhere strictly to the GHG Protocol Product Standard requirements, including efforts for high Scope 3 coverage (estimated &gt;95%). While assumptions were made for placeholder values (e.g., specific transport modes, distances, emission factors for regional grid mixes, and typical energy consumption patterns in the use phase), these were chosen to be representative and conservative where necessary. The report provides a reliable estimate for the PCF of</w:t>
      </w:r>
      <w:r>
        <w:t xml:space="preserve"> </w:t>
      </w:r>
      <w:r>
        <w:rPr>
          <w:bCs/>
          <w:b/>
        </w:rPr>
        <w:t xml:space="preserve">wsiuolsqts</w:t>
      </w:r>
      <w:r>
        <w:t xml:space="preserve"> </w:t>
      </w:r>
      <w:r>
        <w:t xml:space="preserve">and serves as a strong basis for identifying environmental improvement opportunities.</w:t>
      </w:r>
    </w:p>
    <w:bookmarkEnd w:id="51"/>
    <w:bookmarkStart w:id="52" w:name="recommendations-for-improvement"/>
    <w:p>
      <w:pPr>
        <w:pStyle w:val="Heading3"/>
      </w:pPr>
      <w:r>
        <w:t xml:space="preserve">Recommendations for Improvement:</w:t>
      </w:r>
    </w:p>
    <w:p>
      <w:pPr>
        <w:numPr>
          <w:ilvl w:val="0"/>
          <w:numId w:val="1021"/>
        </w:numPr>
        <w:pStyle w:val="Compact"/>
      </w:pPr>
      <w:r>
        <w:rPr>
          <w:bCs/>
          <w:b/>
        </w:rPr>
        <w:t xml:space="preserve">Focus on Use Phase Efficiency:</w:t>
      </w:r>
      <w:r>
        <w:t xml:space="preserve"> </w:t>
      </w:r>
      <w:r>
        <w:t xml:space="preserve">Invest in R&amp;D to drastically reduce the energy consumption of</w:t>
      </w:r>
      <w:r>
        <w:t xml:space="preserve"> </w:t>
      </w:r>
      <w:r>
        <w:rPr>
          <w:bCs/>
          <w:b/>
        </w:rPr>
        <w:t xml:space="preserve">wsiuolsqts</w:t>
      </w:r>
      <w:r>
        <w:t xml:space="preserve"> </w:t>
      </w:r>
      <w:r>
        <w:t xml:space="preserve">during its operational life. Educate consumers on efficient use and the benefits of sourcing renewable energy for their homes/businesses.</w:t>
      </w:r>
    </w:p>
    <w:p>
      <w:pPr>
        <w:numPr>
          <w:ilvl w:val="0"/>
          <w:numId w:val="1021"/>
        </w:numPr>
        <w:pStyle w:val="Compact"/>
      </w:pPr>
      <w:r>
        <w:rPr>
          <w:bCs/>
          <w:b/>
        </w:rPr>
        <w:t xml:space="preserve">Sustainable Material Sourcing:</w:t>
      </w:r>
      <w:r>
        <w:t xml:space="preserve"> </w:t>
      </w:r>
      <w:r>
        <w:t xml:space="preserve">Explore alternative materials with lower embodied carbon for components identified as hotspots (e.g., Electronic Board, Steel, Plastics). Prioritize recycled content where feasible.</w:t>
      </w:r>
    </w:p>
    <w:p>
      <w:pPr>
        <w:numPr>
          <w:ilvl w:val="0"/>
          <w:numId w:val="1021"/>
        </w:numPr>
        <w:pStyle w:val="Compact"/>
      </w:pPr>
      <w:r>
        <w:rPr>
          <w:bCs/>
          <w:b/>
        </w:rPr>
        <w:t xml:space="preserve">Enhance Manufacturing Renewability:</w:t>
      </w:r>
      <w:r>
        <w:t xml:space="preserve"> </w:t>
      </w:r>
      <w:r>
        <w:t xml:space="preserve">Continue increasing the share of renewable energy procured for manufacturing operations in China. Explore on-site renewable energy generation or green energy tariffs.</w:t>
      </w:r>
    </w:p>
    <w:p>
      <w:pPr>
        <w:numPr>
          <w:ilvl w:val="0"/>
          <w:numId w:val="1021"/>
        </w:numPr>
        <w:pStyle w:val="Compact"/>
      </w:pPr>
      <w:r>
        <w:rPr>
          <w:bCs/>
          <w:b/>
        </w:rPr>
        <w:t xml:space="preserve">Strengthen Circularity:</w:t>
      </w:r>
      <w:r>
        <w:t xml:space="preserve"> </w:t>
      </w:r>
      <w:r>
        <w:t xml:space="preserve">Leverage the existing take-back program to maximize material recovery and explore opportunities for remanufacturing or refurbishing components to further enhance circularity and reduce reliance on virgin materials.</w:t>
      </w:r>
    </w:p>
    <w:p>
      <w:r>
        <w:pict>
          <v:rect style="width:0;height:1.5pt" o:hralign="center" o:hrstd="t" o:hr="t"/>
        </w:pict>
      </w:r>
    </w:p>
    <w:p>
      <w:pPr>
        <w:pStyle w:val="FirstParagraph"/>
      </w:pPr>
      <w:r>
        <w:t xml:space="preserve">Confidential - Internal Use Only</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wsiuolsqts</dc:title>
  <dc:creator/>
  <dc:description>Detailed Product Carbon Footprint (PCF) analysis report for wsiuolsqts by iuyqtfthuy, adhering to GHG Protocol and 2026 LSR Update, conducted by Senior Sustainability Consultant ifqlwoyuld.</dc:description>
  <dc:language>en</dc:language>
  <cp:keywords/>
  <dcterms:created xsi:type="dcterms:W3CDTF">2026-05-30T23:55:36Z</dcterms:created>
  <dcterms:modified xsi:type="dcterms:W3CDTF">2026-05-30T23:55:36Z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