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wrjdyghkng</w:t>
      </w:r>
      <w:r>
        <w:t xml:space="preserve"> </w:t>
      </w:r>
      <w:r>
        <w:t xml:space="preserve">-</w:t>
      </w:r>
      <w:r>
        <w:t xml:space="preserve"> </w:t>
      </w:r>
      <w:r>
        <w:t xml:space="preserve">hzzmxooduz</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wrjdyghkng"/>
    <w:p>
      <w:pPr>
        <w:pStyle w:val="Heading2"/>
      </w:pPr>
      <w:r>
        <w:t xml:space="preserve">Product: wrjdyghkng</w:t>
      </w:r>
    </w:p>
    <w:p>
      <w:pPr>
        <w:pStyle w:val="FirstParagraph"/>
      </w:pPr>
      <w:r>
        <w:t xml:space="preserve">**Protocol Data (Accounting Standard):** GHG Protocol</w:t>
      </w:r>
    </w:p>
    <w:p>
      <w:pPr>
        <w:pStyle w:val="BodyText"/>
      </w:pPr>
      <w:r>
        <w:t xml:space="preserve">**Name of the Company:** hzzmxooduz</w:t>
      </w:r>
    </w:p>
    <w:p>
      <w:pPr>
        <w:pStyle w:val="BodyText"/>
      </w:pPr>
      <w:r>
        <w:t xml:space="preserve">**Senior Sustainability Consultant:** lvktglhuwx</w:t>
      </w:r>
    </w:p>
    <w:p>
      <w:pPr>
        <w:pStyle w:val="BodyText"/>
      </w:pPr>
      <w:r>
        <w:t xml:space="preserve">*Disclaimer: This report is generated based on available data and industry standards. While efforts have been made to ensure accuracy, the actual carbon footprint may vary depending on real-time data and specific operational conditions not fully captured by the illustrative parameters provided.*</w:t>
      </w:r>
    </w:p>
    <w:bookmarkEnd w:id="20"/>
    <w:bookmarkEnd w:id="21"/>
    <w:bookmarkStart w:id="54" w:name="X9fb9d5999258af125aa50f669c623e323ffb854"/>
    <w:p>
      <w:pPr>
        <w:pStyle w:val="Heading1"/>
      </w:pPr>
      <w:r>
        <w:t xml:space="preserve">Product Carbon Footprint Analysis Report: wrjdyghkng</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lvktglhuwx</w:t>
      </w:r>
    </w:p>
    <w:p>
      <w:pPr>
        <w:pStyle w:val="BodyText"/>
      </w:pPr>
      <w:r>
        <w:rPr>
          <w:bCs/>
          <w:b/>
        </w:rPr>
        <w:t xml:space="preserve">Company Name:</w:t>
      </w:r>
      <w:r>
        <w:t xml:space="preserve"> </w:t>
      </w:r>
      <w:r>
        <w:t xml:space="preserve">hzzmxooduz</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wrjdyghkng</w:t>
      </w:r>
      <w:r>
        <w:t xml:space="preserve">, manufactured by</w:t>
      </w:r>
      <w:r>
        <w:t xml:space="preserve"> </w:t>
      </w:r>
      <w:r>
        <w:rPr>
          <w:bCs/>
          <w:b/>
        </w:rPr>
        <w:t xml:space="preserve">hzzmxooduz</w:t>
      </w:r>
      <w:r>
        <w:t xml:space="preserve">. Conducted by Senior Sustainability Consultant</w:t>
      </w:r>
      <w:r>
        <w:t xml:space="preserve"> </w:t>
      </w:r>
      <w:r>
        <w:rPr>
          <w:bCs/>
          <w:b/>
        </w:rPr>
        <w:t xml:space="preserve">lvktglhuwx</w:t>
      </w:r>
      <w:r>
        <w:t xml:space="preserve">, this analysis adheres strictly to the GHG Protocol Corporate Accounting and Reporting Standard, including the recent 2026 Land Sector and Removals (LSR) update. The objective is to quantify the greenhouse gas (GHG) emissions across the product\'s lifecycle, from raw material acquisition to end-of-life, with a system boundary set at \'factory_gate\' for the core analysis but expanding to include illustrative use-phase and end-of-life impacts as per requirements. The geographical focus for production is China, with a supply chain focus on Europe. A key emphasis is placed on achieving at least 95% coverage for Scope 3 emissions, reflecting the comprehensive nature of the value chain assessment. Due to the placeholder nature of some input parameters, illustrative data based on industry averages and reasonable assumptions has been used to demonstrate the methodology and calculations.</w:t>
      </w:r>
    </w:p>
    <w:p>
      <w:r>
        <w:pict>
          <v:rect style="width:0;height:1.5pt" o:hralign="center" o:hrstd="t" o:hr="t"/>
        </w:pict>
      </w:r>
    </w:p>
    <w:bookmarkEnd w:id="22"/>
    <w:bookmarkStart w:id="30"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w:t>
      </w:r>
      <w:r>
        <w:t xml:space="preserve"> </w:t>
      </w:r>
      <w:r>
        <w:t xml:space="preserve">of</w:t>
      </w:r>
      <w:r>
        <w:t xml:space="preserve"> </w:t>
      </w:r>
      <w:r>
        <w:rPr>
          <w:bCs/>
          <w:b/>
        </w:rPr>
        <w:t xml:space="preserve">wrjdyghkng</w:t>
      </w:r>
      <w:r>
        <w:t xml:space="preserve">. This serves as the reference basis for all quantified inputs and outputs throughout the product\'s lifecycle, ensuring comparability and consistency.</w:t>
      </w:r>
    </w:p>
    <w:bookmarkEnd w:id="23"/>
    <w:bookmarkStart w:id="24" w:name="system-boundary"/>
    <w:p>
      <w:pPr>
        <w:pStyle w:val="Heading3"/>
      </w:pPr>
      <w:r>
        <w:t xml:space="preserve">1.2 System Boundary</w:t>
      </w:r>
    </w:p>
    <w:p>
      <w:pPr>
        <w:pStyle w:val="FirstParagraph"/>
      </w:pPr>
      <w:r>
        <w:t xml:space="preserve">The primary system boundary for this PCF analysis is designated as</w:t>
      </w:r>
      <w:r>
        <w:t xml:space="preserve"> </w:t>
      </w:r>
      <w:r>
        <w:rPr>
          <w:bCs/>
          <w:b/>
        </w:rPr>
        <w:t xml:space="preserve">\'factory_gate\'</w:t>
      </w:r>
      <w:r>
        <w:t xml:space="preserve">, encompassing raw material extraction, transportation to the manufacturing facility, and the production processes up to the point where the finished product leaves the factory. However, as per the detailed requirements, the analysis is expanded to include illustrative calculations for the \'Use Phase\' and \'End-of-Life\' scenarios, providing a more comprehensive cradle-to-grave perspective for demonstration purposes. This expanded view helps in identifying potential hotspots beyond the immediate factory operations.</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dual geographic focus acknowledges the origin of manufacturing and the broader context of upstream material and component sourcing.</w:t>
      </w:r>
    </w:p>
    <w:bookmarkEnd w:id="25"/>
    <w:bookmarkStart w:id="26" w:name="allocation"/>
    <w:p>
      <w:pPr>
        <w:pStyle w:val="Heading3"/>
      </w:pPr>
      <w:r>
        <w:t xml:space="preserve">1.4 Allocation</w:t>
      </w:r>
    </w:p>
    <w:p>
      <w:pPr>
        <w:pStyle w:val="FirstParagraph"/>
      </w:pPr>
      <w:r>
        <w:t xml:space="preserve">Allocation of environmental burdens for co-products or multi-functional processes, where applicable, follows standard practices, typically based on physical relationships (e.g., mass) or economic value. For this illustrative report, direct emissions from each stage are attributed to the functional unit without complex allocation scenarios unless inherent in the emission factors used.</w:t>
      </w:r>
    </w:p>
    <w:bookmarkEnd w:id="26"/>
    <w:bookmarkStart w:id="27" w:name="accounting-standard-ghg-protocol"/>
    <w:p>
      <w:pPr>
        <w:pStyle w:val="Heading3"/>
      </w:pPr>
      <w:r>
        <w:t xml:space="preserve">1.5 Accounting Standard: GHG Protocol</w:t>
      </w:r>
    </w:p>
    <w:p>
      <w:pPr>
        <w:pStyle w:val="FirstParagraph"/>
      </w:pPr>
      <w:r>
        <w:t xml:space="preserve">This Product Carbon Footprint analysis strictly adheres to the Greenhouse Gas (GHG) Protocol standards, which provide a robust framework for measuring and managing GHG emissions. The GHG Protocol categorizes emissions into three scopes:</w:t>
      </w:r>
    </w:p>
    <w:p>
      <w:pPr>
        <w:numPr>
          <w:ilvl w:val="0"/>
          <w:numId w:val="1002"/>
        </w:numPr>
        <w:pStyle w:val="Compact"/>
      </w:pPr>
      <w:r>
        <w:rPr>
          <w:bCs/>
          <w:b/>
        </w:rPr>
        <w:t xml:space="preserve">Scope 1: Direct GHG Emissions.</w:t>
      </w:r>
      <w:r>
        <w:t xml:space="preserve"> </w:t>
      </w:r>
      <w:r>
        <w:t xml:space="preserve">These are emissions from sources that are owned or controlled by</w:t>
      </w:r>
      <w:r>
        <w:t xml:space="preserve"> </w:t>
      </w:r>
      <w:r>
        <w:rPr>
          <w:bCs/>
          <w:b/>
        </w:rPr>
        <w:t xml:space="preserve">hzzmxooduz</w:t>
      </w:r>
      <w:r>
        <w:t xml:space="preserve"> </w:t>
      </w:r>
      <w:r>
        <w:t xml:space="preserve">(e.g., fuel combustion in owned vehicles or on-site manufacturing processes).</w:t>
      </w:r>
    </w:p>
    <w:p>
      <w:pPr>
        <w:numPr>
          <w:ilvl w:val="0"/>
          <w:numId w:val="1002"/>
        </w:numPr>
        <w:pStyle w:val="Compact"/>
      </w:pPr>
      <w:r>
        <w:rPr>
          <w:bCs/>
          <w:b/>
        </w:rPr>
        <w:t xml:space="preserve">Scope 2: Indirect GHG Emissions from Purchased Energy.</w:t>
      </w:r>
      <w:r>
        <w:t xml:space="preserve"> </w:t>
      </w:r>
      <w:r>
        <w:t xml:space="preserve">These emissions result from the generation of purchased electricity, heat, or steam consumed by</w:t>
      </w:r>
      <w:r>
        <w:t xml:space="preserve"> </w:t>
      </w:r>
      <w:r>
        <w:rPr>
          <w:bCs/>
          <w:b/>
        </w:rPr>
        <w:t xml:space="preserve">hzzmxooduz</w:t>
      </w:r>
      <w:r>
        <w:t xml:space="preserve"> </w:t>
      </w:r>
      <w:r>
        <w:t xml:space="preserve">(e.g., electricity used in the manufacturing facility).</w:t>
      </w:r>
    </w:p>
    <w:p>
      <w:pPr>
        <w:numPr>
          <w:ilvl w:val="0"/>
          <w:numId w:val="1002"/>
        </w:numPr>
        <w:pStyle w:val="Compact"/>
      </w:pPr>
      <w:r>
        <w:rPr>
          <w:bCs/>
          <w:b/>
        </w:rPr>
        <w:t xml:space="preserve">Scope 3: Other Indirect GHG Emissions (Value Chain Emissions).</w:t>
      </w:r>
      <w:r>
        <w:t xml:space="preserve"> </w:t>
      </w:r>
      <w:r>
        <w:t xml:space="preserve">These are all other indirect emissions that occur in the value chain of</w:t>
      </w:r>
      <w:r>
        <w:t xml:space="preserve"> </w:t>
      </w:r>
      <w:r>
        <w:rPr>
          <w:bCs/>
          <w:b/>
        </w:rPr>
        <w:t xml:space="preserve">hzzmxooduz</w:t>
      </w:r>
      <w:r>
        <w:t xml:space="preserve">, both upstream and downstream. For this report, Scope 3 covers emissions from purchased goods and services (materials), upstream and downstream transportation and distribution, use of sold products, and end-of-life treatment of sold products.</w:t>
      </w:r>
    </w:p>
    <w:bookmarkEnd w:id="27"/>
    <w:bookmarkStart w:id="28" w:name="land-sector-and-removals-lsr-update"/>
    <w:p>
      <w:pPr>
        <w:pStyle w:val="Heading3"/>
      </w:pPr>
      <w:r>
        <w:t xml:space="preserve">1.6 2026 Land Sector and Removals (LSR) Update</w:t>
      </w:r>
    </w:p>
    <w:p>
      <w:pPr>
        <w:pStyle w:val="FirstParagraph"/>
      </w:pPr>
      <w:r>
        <w:t xml:space="preserve">In alignment with the latest GHG Protocol updates, the Land Sector and Removals (LSR) Standard, taking effect on January 1, 2027 (released January 30, 2026), is conceptually applied. This standard provides accounting requirements for land management, land use change, CO₂ removals with storage in land and geologic carbon pools, and emissions from biogenic products. For a product like</w:t>
      </w:r>
      <w:r>
        <w:t xml:space="preserve"> </w:t>
      </w:r>
      <w:r>
        <w:rPr>
          <w:bCs/>
          <w:b/>
        </w:rPr>
        <w:t xml:space="preserve">wrjdyghkng</w:t>
      </w:r>
      <w:r>
        <w:t xml:space="preserve">, the LSR update would primarily impact the upstream Scope 3 emissions, specifically related to the land-use change impacts associated with the extraction and production of raw materials, especially if they are bio-based or derived from agriculture. Although specific land-use data is not provided, this analysis acknowledges the importance of integrating such considerations to inform mitigation strategies and track performance, as required by the LSR Standard. The accompanying guidance document is expected in Q2 2026, which will provide further practical direction for implementation.</w:t>
      </w:r>
    </w:p>
    <w:bookmarkEnd w:id="28"/>
    <w:bookmarkStart w:id="29" w:name="scope-3-compliance-95-coverage"/>
    <w:p>
      <w:pPr>
        <w:pStyle w:val="Heading3"/>
      </w:pPr>
      <w:r>
        <w:t xml:space="preserve">1.7 Scope 3 Compliance (95% Coverage)</w:t>
      </w:r>
    </w:p>
    <w:p>
      <w:pPr>
        <w:pStyle w:val="FirstParagraph"/>
      </w:pPr>
      <w:r>
        <w:t xml:space="preserve">Ensuring at least 95% coverage for Scope 3 reporting is a critical requirement for 2026. This comprehensive approach necessitates a thorough assessment of all relevant upstream and downstream activities in the product\'s value chain. The categories considered in this analysis to achieve high Scope 3 coverage include: Purchased goods and services (materials), Upstream transportation and distribution, Downstream transportation and distribution, Use of sold products, and End-of-life treatment of sold products.</w:t>
      </w:r>
    </w:p>
    <w:p>
      <w:r>
        <w:pict>
          <v:rect style="width:0;height:1.5pt" o:hralign="center" o:hrstd="t" o:hr="t"/>
        </w:pict>
      </w:r>
    </w:p>
    <w:bookmarkEnd w:id="29"/>
    <w:bookmarkEnd w:id="30"/>
    <w:bookmarkStart w:id="32" w:name="map-lifecycle-lci-inventory-stages"/>
    <w:p>
      <w:pPr>
        <w:pStyle w:val="Heading2"/>
      </w:pPr>
      <w:r>
        <w:t xml:space="preserve">2. Map Lifecycle (LCI Inventory Stages)</w:t>
      </w:r>
    </w:p>
    <w:p>
      <w:pPr>
        <w:pStyle w:val="FirstParagraph"/>
      </w:pPr>
      <w:r>
        <w:t xml:space="preserve">The lifecycle of</w:t>
      </w:r>
      <w:r>
        <w:t xml:space="preserve"> </w:t>
      </w:r>
      <w:r>
        <w:rPr>
          <w:bCs/>
          <w:b/>
        </w:rPr>
        <w:t xml:space="preserve">wrjdyghkng</w:t>
      </w:r>
      <w:r>
        <w:t xml:space="preserve"> </w:t>
      </w:r>
      <w:r>
        <w:t xml:space="preserve">is mapped through several stages, identifying key processes and associated material and energy flows relevant to its carbon footprint. These stages include:</w:t>
      </w:r>
    </w:p>
    <w:p>
      <w:pPr>
        <w:numPr>
          <w:ilvl w:val="0"/>
          <w:numId w:val="1003"/>
        </w:numPr>
        <w:pStyle w:val="Compact"/>
      </w:pPr>
      <w:r>
        <w:rPr>
          <w:bCs/>
          <w:b/>
        </w:rPr>
        <w:t xml:space="preserve">Raw Material Acquisition:</w:t>
      </w:r>
      <w:r>
        <w:t xml:space="preserve"> </w:t>
      </w:r>
      <w:r>
        <w:t xml:space="preserve">Extraction and initial processing of all materials listed in the Bill of Materials.</w:t>
      </w:r>
    </w:p>
    <w:p>
      <w:pPr>
        <w:numPr>
          <w:ilvl w:val="0"/>
          <w:numId w:val="1003"/>
        </w:numPr>
        <w:pStyle w:val="Compact"/>
      </w:pPr>
      <w:r>
        <w:rPr>
          <w:bCs/>
          <w:b/>
        </w:rPr>
        <w:t xml:space="preserve">Manufacturing / Production:</w:t>
      </w:r>
      <w:r>
        <w:t xml:space="preserve"> </w:t>
      </w:r>
      <w:r>
        <w:t xml:space="preserve">All processes occurring at</w:t>
      </w:r>
      <w:r>
        <w:t xml:space="preserve"> </w:t>
      </w:r>
      <w:r>
        <w:rPr>
          <w:bCs/>
          <w:b/>
        </w:rPr>
        <w:t xml:space="preserve">hzzmxooduz</w:t>
      </w:r>
      <w:r>
        <w:t xml:space="preserve">\'s factory in China, including energy consumption, machinery operation, and any direct emissions.</w:t>
      </w:r>
    </w:p>
    <w:p>
      <w:pPr>
        <w:numPr>
          <w:ilvl w:val="0"/>
          <w:numId w:val="1003"/>
        </w:numPr>
        <w:pStyle w:val="Compact"/>
      </w:pPr>
      <w:r>
        <w:rPr>
          <w:bCs/>
          <w:b/>
        </w:rPr>
        <w:t xml:space="preserve">Upstream Transportation:</w:t>
      </w:r>
      <w:r>
        <w:t xml:space="preserve"> </w:t>
      </w:r>
      <w:r>
        <w:t xml:space="preserve">Transport of raw materials and components from suppliers (Europe-focused supply chain) to the manufacturing facility in China.</w:t>
      </w:r>
    </w:p>
    <w:p>
      <w:pPr>
        <w:numPr>
          <w:ilvl w:val="0"/>
          <w:numId w:val="1003"/>
        </w:numPr>
        <w:pStyle w:val="Compact"/>
      </w:pPr>
      <w:r>
        <w:rPr>
          <w:bCs/>
          <w:b/>
        </w:rPr>
        <w:t xml:space="preserve">Downstream Transportation:</w:t>
      </w:r>
      <w:r>
        <w:t xml:space="preserve"> </w:t>
      </w:r>
      <w:r>
        <w:t xml:space="preserve">Transport of the finished product from the factory gate to the customer\'s location, including last-mile delivery.</w:t>
      </w:r>
    </w:p>
    <w:p>
      <w:pPr>
        <w:numPr>
          <w:ilvl w:val="0"/>
          <w:numId w:val="1003"/>
        </w:numPr>
        <w:pStyle w:val="Compact"/>
      </w:pPr>
      <w:r>
        <w:rPr>
          <w:bCs/>
          <w:b/>
        </w:rPr>
        <w:t xml:space="preserve">Use Phase:</w:t>
      </w:r>
      <w:r>
        <w:t xml:space="preserve"> </w:t>
      </w:r>
      <w:r>
        <w:t xml:space="preserve">Energy consumption and any other impacts during the product\'s anticipated lifespan.</w:t>
      </w:r>
    </w:p>
    <w:p>
      <w:pPr>
        <w:numPr>
          <w:ilvl w:val="0"/>
          <w:numId w:val="1003"/>
        </w:numPr>
        <w:pStyle w:val="Compact"/>
      </w:pPr>
      <w:r>
        <w:rPr>
          <w:bCs/>
          <w:b/>
        </w:rPr>
        <w:t xml:space="preserve">End-of-Life (EoL):</w:t>
      </w:r>
      <w:r>
        <w:t xml:space="preserve"> </w:t>
      </w:r>
      <w:r>
        <w:t xml:space="preserve">Disposal, recycling, or recovery processes at the end of the product\'s useful life.</w:t>
      </w:r>
    </w:p>
    <w:bookmarkStart w:id="31" w:name="Xc99658ff314d8a3b13bc5da231a4685c28edf78"/>
    <w:p>
      <w:pPr>
        <w:pStyle w:val="Heading3"/>
      </w:pPr>
      <w:r>
        <w:t xml:space="preserve">Detailed Breakdown of Materials and Energy Inputs (Illustrative)</w:t>
      </w:r>
    </w:p>
    <w:p>
      <w:pPr>
        <w:pStyle w:val="FirstParagraph"/>
      </w:pPr>
      <w:r>
        <w:t xml:space="preserve">To perform the analysis, illustrative data derived from the provided placeholder parameters are used. The Bill of Materials (BOM) provides a detailed list of components, and their associated carbon impact for materials will be directly incorporated.</w:t>
      </w:r>
    </w:p>
    <w:p>
      <w:r>
        <w:pict>
          <v:rect style="width:0;height:1.5pt" o:hralign="center" o:hrstd="t" o:hr="t"/>
        </w:pict>
      </w:r>
    </w:p>
    <w:bookmarkEnd w:id="31"/>
    <w:bookmarkEnd w:id="32"/>
    <w:bookmarkStart w:id="38" w:name="collect-data"/>
    <w:p>
      <w:pPr>
        <w:pStyle w:val="Heading2"/>
      </w:pPr>
      <w:r>
        <w:t xml:space="preserve">3. Collect Data</w:t>
      </w:r>
    </w:p>
    <w:p>
      <w:pPr>
        <w:pStyle w:val="FirstParagraph"/>
      </w:pPr>
      <w:r>
        <w:t xml:space="preserve">Data collection involved gathering specific activity data and corresponding emission factors. As the provided parameters are placeholders, illustrative values based on industry averages and reasonable assumptions are used to demonstrate the calculation methodology. In a real-world scenario, precise primary data from suppliers and internal operations would be collected.</w:t>
      </w:r>
    </w:p>
    <w:bookmarkStart w:id="33" w:name="Xf10849953d3446ce6c4692eae7bde9ecd8aa20d"/>
    <w:p>
      <w:pPr>
        <w:pStyle w:val="Heading3"/>
      </w:pPr>
      <w:r>
        <w:t xml:space="preserve">3.1 Detailed Bill of Materials (BOM): kmuodeyh (Illustrative Data)</w:t>
      </w:r>
    </w:p>
    <w:p>
      <w:pPr>
        <w:pStyle w:val="FirstParagraph"/>
      </w:pPr>
      <w:r>
        <w:t xml:space="preserve">The BOM data provided in the format ID, Description, Category, Process, Qty, Unit, Emission Factor (kg CO2e/Unit), Total Carbon (kg CO2e) is simulated below to demonstrate the material impact calculation. The Emission Factor (EF) here represents the cradle-to-gate impact of the raw material/component per unit quantity, and Total Carbon is derived from Qty * EF.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1.5</w:t>
            </w:r>
          </w:p>
        </w:tc>
        <w:tc>
          <w:tcPr/>
          <w:p>
            <w:pPr>
              <w:pStyle w:val="Compact"/>
              <w:jc w:val="left"/>
            </w:pPr>
            <w:r>
              <w:t xml:space="preserve">kg</w:t>
            </w:r>
          </w:p>
        </w:tc>
        <w:tc>
          <w:tcPr/>
          <w:p>
            <w:pPr>
              <w:pStyle w:val="Compact"/>
              <w:jc w:val="left"/>
            </w:pPr>
            <w:r>
              <w:t xml:space="preserve">1.80</w:t>
            </w:r>
          </w:p>
        </w:tc>
        <w:tc>
          <w:tcPr/>
          <w:p>
            <w:pPr>
              <w:pStyle w:val="Compact"/>
              <w:jc w:val="left"/>
            </w:pPr>
            <w:r>
              <w:t xml:space="preserve">2.70</w:t>
            </w:r>
          </w:p>
        </w:tc>
      </w:tr>
      <w:tr>
        <w:tc>
          <w:tcPr/>
          <w:p>
            <w:pPr>
              <w:pStyle w:val="Compact"/>
              <w:jc w:val="left"/>
            </w:pPr>
            <w:r>
              <w:t xml:space="preserve">M002</w:t>
            </w:r>
          </w:p>
        </w:tc>
        <w:tc>
          <w:tcPr/>
          <w:p>
            <w:pPr>
              <w:pStyle w:val="Compact"/>
              <w:jc w:val="left"/>
            </w:pPr>
            <w:r>
              <w:t xml:space="preserve">HDPE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2.30</w:t>
            </w:r>
          </w:p>
        </w:tc>
        <w:tc>
          <w:tcPr/>
          <w:p>
            <w:pPr>
              <w:pStyle w:val="Compact"/>
              <w:jc w:val="left"/>
            </w:pPr>
            <w:r>
              <w:t xml:space="preserve">1.84</w:t>
            </w:r>
          </w:p>
        </w:tc>
      </w:tr>
      <w:tr>
        <w:tc>
          <w:tcPr/>
          <w:p>
            <w:pPr>
              <w:pStyle w:val="Compact"/>
              <w:jc w:val="left"/>
            </w:pPr>
            <w:r>
              <w:t xml:space="preserve">M003</w:t>
            </w:r>
          </w:p>
        </w:tc>
        <w:tc>
          <w:tcPr/>
          <w:p>
            <w:pPr>
              <w:pStyle w:val="Compact"/>
              <w:jc w:val="left"/>
            </w:pPr>
            <w:r>
              <w:t xml:space="preserve">Aluminum Bracket</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15.00 (China Primary Al)</w:t>
            </w:r>
          </w:p>
        </w:tc>
        <w:tc>
          <w:tcPr/>
          <w:p>
            <w:pPr>
              <w:pStyle w:val="Compact"/>
              <w:jc w:val="left"/>
            </w:pPr>
            <w:r>
              <w:t xml:space="preserve">3.00</w:t>
            </w:r>
          </w:p>
        </w:tc>
      </w:tr>
      <w:tr>
        <w:tc>
          <w:tcPr/>
          <w:p>
            <w:pPr>
              <w:pStyle w:val="Compact"/>
              <w:jc w:val="left"/>
            </w:pPr>
            <w:r>
              <w:t xml:space="preserve">M004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10.00 (Illustrative)</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0.50 (Illustrative)</w:t>
            </w:r>
          </w:p>
        </w:tc>
        <w:tc>
          <w:tcPr/>
          <w:p>
            <w:pPr>
              <w:pStyle w:val="Compact"/>
              <w:jc w:val="left"/>
            </w:pPr>
            <w:r>
              <w:t xml:space="preserve">0.15</w:t>
            </w:r>
          </w:p>
        </w:tc>
      </w:tr>
    </w:tbl>
    <w:p>
      <w:pPr>
        <w:pStyle w:val="BodyText"/>
      </w:pPr>
      <w:r>
        <w:rPr>
          <w:bCs/>
          <w:b/>
        </w:rPr>
        <w:t xml:space="preserve">Total Material Carbon Footprint (from BOM): 8.69 kg CO2e</w:t>
      </w:r>
    </w:p>
    <w:bookmarkEnd w:id="33"/>
    <w:bookmarkStart w:id="34" w:name="logistics-data-illustrative"/>
    <w:p>
      <w:pPr>
        <w:pStyle w:val="Heading3"/>
      </w:pPr>
      <w:r>
        <w:t xml:space="preserve">3.2 Logistics Data (Illustrative)</w:t>
      </w:r>
    </w:p>
    <w:p>
      <w:pPr>
        <w:numPr>
          <w:ilvl w:val="0"/>
          <w:numId w:val="1004"/>
        </w:numPr>
        <w:pStyle w:val="Compact"/>
      </w:pPr>
      <w:r>
        <w:rPr>
          <w:bCs/>
          <w:b/>
        </w:rPr>
        <w:t xml:space="preserve">Upstream Transport (Materials/Components):</w:t>
      </w:r>
    </w:p>
    <w:p>
      <w:pPr>
        <w:numPr>
          <w:ilvl w:val="1"/>
          <w:numId w:val="1005"/>
        </w:numPr>
        <w:pStyle w:val="Compact"/>
      </w:pPr>
      <w:r>
        <w:rPr>
          <w:bCs/>
          <w:b/>
        </w:rPr>
        <w:t xml:space="preserve">Transport Mode:</w:t>
      </w:r>
      <w:r>
        <w:t xml:space="preserve"> </w:t>
      </w:r>
      <w:r>
        <w:t xml:space="preserve">Truck (Heavy Duty)</w:t>
      </w:r>
    </w:p>
    <w:p>
      <w:pPr>
        <w:numPr>
          <w:ilvl w:val="1"/>
          <w:numId w:val="1005"/>
        </w:numPr>
        <w:pStyle w:val="Compact"/>
      </w:pPr>
      <w:r>
        <w:rPr>
          <w:bCs/>
          <w:b/>
        </w:rPr>
        <w:t xml:space="preserve">Transport Distance:</w:t>
      </w:r>
      <w:r>
        <w:t xml:space="preserve"> </w:t>
      </w:r>
      <w:r>
        <w:t xml:space="preserve">1500 km (Illustrative, derived from `evefrzptmy`)</w:t>
      </w:r>
    </w:p>
    <w:p>
      <w:pPr>
        <w:numPr>
          <w:ilvl w:val="1"/>
          <w:numId w:val="1005"/>
        </w:numPr>
        <w:pStyle w:val="Compact"/>
      </w:pPr>
      <w:r>
        <w:rPr>
          <w:bCs/>
          <w:b/>
        </w:rPr>
        <w:t xml:space="preserve">Weight of Goods per Unit:</w:t>
      </w:r>
      <w:r>
        <w:t xml:space="preserve"> </w:t>
      </w:r>
      <w:r>
        <w:t xml:space="preserve">Sum of BOM material quantities = 1.5 + 0.8 + 0.2 + 0.1 + 0.3 = 2.9 kg</w:t>
      </w:r>
    </w:p>
    <w:p>
      <w:pPr>
        <w:numPr>
          <w:ilvl w:val="1"/>
          <w:numId w:val="1005"/>
        </w:numPr>
        <w:pStyle w:val="Compact"/>
      </w:pPr>
      <w:r>
        <w:rPr>
          <w:bCs/>
          <w:b/>
        </w:rPr>
        <w:t xml:space="preserve">Emission Factor (Truck, heavy-duty):</w:t>
      </w:r>
      <w:r>
        <w:t xml:space="preserve"> </w:t>
      </w:r>
      <w:r>
        <w:t xml:space="preserve">0.10 kg CO2e/tonne-km</w:t>
      </w:r>
    </w:p>
    <w:p>
      <w:pPr>
        <w:numPr>
          <w:ilvl w:val="0"/>
          <w:numId w:val="1004"/>
        </w:numPr>
        <w:pStyle w:val="Compact"/>
      </w:pPr>
      <w:r>
        <w:rPr>
          <w:bCs/>
          <w:b/>
        </w:rPr>
        <w:t xml:space="preserve">Downstream Transport (Finished Product):</w:t>
      </w:r>
    </w:p>
    <w:p>
      <w:pPr>
        <w:numPr>
          <w:ilvl w:val="1"/>
          <w:numId w:val="1006"/>
        </w:numPr>
        <w:pStyle w:val="Compact"/>
      </w:pPr>
      <w:r>
        <w:rPr>
          <w:bCs/>
          <w:b/>
        </w:rPr>
        <w:t xml:space="preserve">Transport Mode:</w:t>
      </w:r>
      <w:r>
        <w:t xml:space="preserve"> </w:t>
      </w:r>
      <w:r>
        <w:t xml:space="preserve">Truck (Heavy Duty) for main distribution, Van (Light Commercial) for Last-Mile</w:t>
      </w:r>
    </w:p>
    <w:p>
      <w:pPr>
        <w:numPr>
          <w:ilvl w:val="1"/>
          <w:numId w:val="1006"/>
        </w:numPr>
        <w:pStyle w:val="Compact"/>
      </w:pPr>
      <w:r>
        <w:rPr>
          <w:bCs/>
          <w:b/>
        </w:rPr>
        <w:t xml:space="preserve">Main Distribution Distance:</w:t>
      </w:r>
      <w:r>
        <w:t xml:space="preserve"> </w:t>
      </w:r>
      <w:r>
        <w:t xml:space="preserve">500 km (Illustrative, part of `evefrzptmy`)</w:t>
      </w:r>
    </w:p>
    <w:p>
      <w:pPr>
        <w:numPr>
          <w:ilvl w:val="1"/>
          <w:numId w:val="1006"/>
        </w:numPr>
        <w:pStyle w:val="Compact"/>
      </w:pPr>
      <w:r>
        <w:rPr>
          <w:bCs/>
          <w:b/>
        </w:rPr>
        <w:t xml:space="preserve">Last-Mile Delivery Distance:</w:t>
      </w:r>
      <w:r>
        <w:t xml:space="preserve"> </w:t>
      </w:r>
      <w:r>
        <w:t xml:space="preserve">50 km (Illustrative, derived from `Delivery Type`)</w:t>
      </w:r>
    </w:p>
    <w:p>
      <w:pPr>
        <w:numPr>
          <w:ilvl w:val="1"/>
          <w:numId w:val="1006"/>
        </w:numPr>
        <w:pStyle w:val="Compact"/>
      </w:pPr>
      <w:r>
        <w:rPr>
          <w:bCs/>
          <w:b/>
        </w:rPr>
        <w:t xml:space="preserve">Weight of Product:</w:t>
      </w:r>
      <w:r>
        <w:t xml:space="preserve"> </w:t>
      </w:r>
      <w:r>
        <w:t xml:space="preserve">2.9 kg (as calculated from BOM) + minor assembly weight ~ 3.0 kg (illustrative)</w:t>
      </w:r>
    </w:p>
    <w:p>
      <w:pPr>
        <w:numPr>
          <w:ilvl w:val="1"/>
          <w:numId w:val="1006"/>
        </w:numPr>
        <w:pStyle w:val="Compact"/>
      </w:pPr>
      <w:r>
        <w:rPr>
          <w:bCs/>
          <w:b/>
        </w:rPr>
        <w:t xml:space="preserve">Emission Factor (Truck, heavy-duty):</w:t>
      </w:r>
      <w:r>
        <w:t xml:space="preserve"> </w:t>
      </w:r>
      <w:r>
        <w:t xml:space="preserve">0.10 kg CO2e/tonne-km</w:t>
      </w:r>
    </w:p>
    <w:p>
      <w:pPr>
        <w:numPr>
          <w:ilvl w:val="1"/>
          <w:numId w:val="1006"/>
        </w:numPr>
        <w:pStyle w:val="Compact"/>
      </w:pPr>
      <w:r>
        <w:rPr>
          <w:bCs/>
          <w:b/>
        </w:rPr>
        <w:t xml:space="preserve">Emission Factor (Van, last-mile):</w:t>
      </w:r>
      <w:r>
        <w:t xml:space="preserve"> </w:t>
      </w:r>
      <w:r>
        <w:t xml:space="preserve">0.40 kg CO2e/tonne-km (Urban delivery heavy truck proxy, adjusted for van)</w:t>
      </w:r>
    </w:p>
    <w:bookmarkEnd w:id="34"/>
    <w:bookmarkStart w:id="35" w:name="production-energy-data-illustrative"/>
    <w:p>
      <w:pPr>
        <w:pStyle w:val="Heading3"/>
      </w:pPr>
      <w:r>
        <w:t xml:space="preserve">3.3 Production Energy Data (Illustrative)</w:t>
      </w:r>
    </w:p>
    <w:p>
      <w:pPr>
        <w:numPr>
          <w:ilvl w:val="0"/>
          <w:numId w:val="1007"/>
        </w:numPr>
        <w:pStyle w:val="Compact"/>
      </w:pPr>
      <w:r>
        <w:rPr>
          <w:bCs/>
          <w:b/>
        </w:rPr>
        <w:t xml:space="preserve">Renewable Energy Usage:</w:t>
      </w:r>
      <w:r>
        <w:t xml:space="preserve"> </w:t>
      </w:r>
      <w:r>
        <w:t xml:space="preserve">50% (Illustrative, derived from `hmnzojqyqv`)</w:t>
      </w:r>
    </w:p>
    <w:p>
      <w:pPr>
        <w:numPr>
          <w:ilvl w:val="0"/>
          <w:numId w:val="1007"/>
        </w:numPr>
        <w:pStyle w:val="Compact"/>
      </w:pPr>
      <w:r>
        <w:rPr>
          <w:bCs/>
          <w:b/>
        </w:rPr>
        <w:t xml:space="preserve">Energy Intensity (kWh/unit):</w:t>
      </w:r>
      <w:r>
        <w:t xml:space="preserve"> </w:t>
      </w:r>
      <w:r>
        <w:t xml:space="preserve">10 kWh/unit (Illustrative, derived from `uyghvnzlyx`)</w:t>
      </w:r>
    </w:p>
    <w:p>
      <w:pPr>
        <w:numPr>
          <w:ilvl w:val="0"/>
          <w:numId w:val="1007"/>
        </w:numPr>
        <w:pStyle w:val="Compact"/>
      </w:pPr>
      <w:r>
        <w:rPr>
          <w:bCs/>
          <w:b/>
        </w:rPr>
        <w:t xml:space="preserve">Electricity Grid Emission Factor (China):</w:t>
      </w:r>
      <w:r>
        <w:t xml:space="preserve"> </w:t>
      </w:r>
      <w:r>
        <w:t xml:space="preserve">0.58 kg CO2e/kWh (Average for China)</w:t>
      </w:r>
    </w:p>
    <w:bookmarkEnd w:id="35"/>
    <w:bookmarkStart w:id="36" w:name="use-phase-data-illustrative"/>
    <w:p>
      <w:pPr>
        <w:pStyle w:val="Heading3"/>
      </w:pPr>
      <w:r>
        <w:t xml:space="preserve">3.4 Use Phase Data (Illustrative)</w:t>
      </w:r>
    </w:p>
    <w:p>
      <w:pPr>
        <w:numPr>
          <w:ilvl w:val="0"/>
          <w:numId w:val="1008"/>
        </w:numPr>
        <w:pStyle w:val="Compact"/>
      </w:pPr>
      <w:r>
        <w:rPr>
          <w:bCs/>
          <w:b/>
        </w:rPr>
        <w:t xml:space="preserve">Product Lifespan:</w:t>
      </w:r>
      <w:r>
        <w:t xml:space="preserve"> </w:t>
      </w:r>
      <w:r>
        <w:t xml:space="preserve">5 years (Illustrative, derived from `oovnzphkuy`)</w:t>
      </w:r>
    </w:p>
    <w:p>
      <w:pPr>
        <w:numPr>
          <w:ilvl w:val="0"/>
          <w:numId w:val="1008"/>
        </w:numPr>
        <w:pStyle w:val="Compact"/>
      </w:pPr>
      <w:r>
        <w:rPr>
          <w:bCs/>
          <w:b/>
        </w:rPr>
        <w:t xml:space="preserve">Energy Consumption in Use:</w:t>
      </w:r>
      <w:r>
        <w:t xml:space="preserve"> </w:t>
      </w:r>
      <w:r>
        <w:t xml:space="preserve">20 kWh/year (Illustrative, derived from `rfkgonepho`)</w:t>
      </w:r>
    </w:p>
    <w:p>
      <w:pPr>
        <w:numPr>
          <w:ilvl w:val="0"/>
          <w:numId w:val="1008"/>
        </w:numPr>
        <w:pStyle w:val="Compact"/>
      </w:pPr>
      <w:r>
        <w:rPr>
          <w:bCs/>
          <w:b/>
        </w:rPr>
        <w:t xml:space="preserve">Electricity Grid Emission Factor (Europe):</w:t>
      </w:r>
      <w:r>
        <w:t xml:space="preserve"> </w:t>
      </w:r>
      <w:r>
        <w:t xml:space="preserve">0.26 kg CO2e/kWh (Average for Europe)</w:t>
      </w:r>
    </w:p>
    <w:bookmarkEnd w:id="36"/>
    <w:bookmarkStart w:id="37" w:name="end-of-life-eol-scenarios-illustrative"/>
    <w:p>
      <w:pPr>
        <w:pStyle w:val="Heading3"/>
      </w:pPr>
      <w:r>
        <w:t xml:space="preserve">3.5 End-of-Life (EoL) Scenarios (Illustrative)</w:t>
      </w:r>
    </w:p>
    <w:p>
      <w:pPr>
        <w:numPr>
          <w:ilvl w:val="0"/>
          <w:numId w:val="1009"/>
        </w:numPr>
        <w:pStyle w:val="Compact"/>
      </w:pPr>
      <w:r>
        <w:rPr>
          <w:bCs/>
          <w:b/>
        </w:rPr>
        <w:t xml:space="preserve">Recyclability Percentage:</w:t>
      </w:r>
      <w:r>
        <w:t xml:space="preserve"> </w:t>
      </w:r>
      <w:r>
        <w:t xml:space="preserve">70% (Illustrative, derived from `jepdznwsxx`)</w:t>
      </w:r>
    </w:p>
    <w:p>
      <w:pPr>
        <w:numPr>
          <w:ilvl w:val="0"/>
          <w:numId w:val="1009"/>
        </w:numPr>
        <w:pStyle w:val="Compact"/>
      </w:pPr>
      <w:r>
        <w:rPr>
          <w:bCs/>
          <w:b/>
        </w:rPr>
        <w:t xml:space="preserve">Circular/Take-back Programs:</w:t>
      </w:r>
      <w:r>
        <w:t xml:space="preserve"> </w:t>
      </w:r>
      <w:r>
        <w:t xml:space="preserve">Yes, with an assumed 10% return rate for high-value components (Illustrative, derived from `hzneymrtrz`)</w:t>
      </w:r>
    </w:p>
    <w:p>
      <w:pPr>
        <w:numPr>
          <w:ilvl w:val="0"/>
          <w:numId w:val="1009"/>
        </w:numPr>
        <w:pStyle w:val="Compact"/>
      </w:pPr>
      <w:r>
        <w:rPr>
          <w:bCs/>
          <w:b/>
        </w:rPr>
        <w:t xml:space="preserve">Disposal (Landfill/Incineration):</w:t>
      </w:r>
      <w:r>
        <w:t xml:space="preserve"> </w:t>
      </w:r>
      <w:r>
        <w:t xml:space="preserve">Remaining 30% of product weight.</w:t>
      </w:r>
    </w:p>
    <w:p>
      <w:pPr>
        <w:numPr>
          <w:ilvl w:val="0"/>
          <w:numId w:val="1009"/>
        </w:numPr>
        <w:pStyle w:val="Compact"/>
      </w:pPr>
      <w:r>
        <w:rPr>
          <w:bCs/>
          <w:b/>
        </w:rPr>
        <w:t xml:space="preserve">Recycling Credits:</w:t>
      </w:r>
      <w:r>
        <w:t xml:space="preserve"> </w:t>
      </w:r>
      <w:r>
        <w:t xml:space="preserve">Assumed 80% avoided emissions compared to virgin material production for recycled content.</w:t>
      </w:r>
    </w:p>
    <w:p>
      <w:r>
        <w:pict>
          <v:rect style="width:0;height:1.5pt" o:hralign="center" o:hrstd="t" o:hr="t"/>
        </w:pict>
      </w:r>
    </w:p>
    <w:bookmarkEnd w:id="37"/>
    <w:bookmarkEnd w:id="38"/>
    <w:bookmarkStart w:id="49" w:name="calculate-emissions"/>
    <w:p>
      <w:pPr>
        <w:pStyle w:val="Heading2"/>
      </w:pPr>
      <w:r>
        <w:t xml:space="preserve">4. Calculate Emissions</w:t>
      </w:r>
    </w:p>
    <w:p>
      <w:pPr>
        <w:pStyle w:val="FirstParagraph"/>
      </w:pPr>
      <w:r>
        <w:t xml:space="preserve">Emissions are calculated for each stage (Activity * Emission Factor = CO2e) and categorized according to the GHG Protocol scopes.</w:t>
      </w:r>
    </w:p>
    <w:bookmarkStart w:id="41" w:name="X5f8a65d31811e12fe0a1702f009dfbe2dfe25c0"/>
    <w:p>
      <w:pPr>
        <w:pStyle w:val="Heading3"/>
      </w:pPr>
      <w:r>
        <w:t xml:space="preserve">4.1 Scope 3 - Upstream Emissions (Materials &amp; Upstream Transport)</w:t>
      </w:r>
    </w:p>
    <w:bookmarkStart w:id="39" w:name="purchased-goods-and-services-materials"/>
    <w:p>
      <w:pPr>
        <w:pStyle w:val="Heading4"/>
      </w:pPr>
      <w:r>
        <w:t xml:space="preserve">4.1.1 Purchased Goods and Services (Materials)</w:t>
      </w:r>
    </w:p>
    <w:p>
      <w:pPr>
        <w:pStyle w:val="FirstParagraph"/>
      </w:pPr>
      <w:r>
        <w:t xml:space="preserve">Based on the illustrative BOM data provided in Section 3.1:</w:t>
      </w:r>
    </w:p>
    <w:p>
      <w:pPr>
        <w:numPr>
          <w:ilvl w:val="0"/>
          <w:numId w:val="1010"/>
        </w:numPr>
        <w:pStyle w:val="Compact"/>
      </w:pPr>
      <w:r>
        <w:t xml:space="preserve">Total Material Carbon Footprint = 8.69 kg CO2e</w:t>
      </w:r>
    </w:p>
    <w:p>
      <w:pPr>
        <w:pStyle w:val="FirstParagraph"/>
      </w:pPr>
      <w:r>
        <w:rPr>
          <w:bCs/>
          <w:b/>
        </w:rPr>
        <w:t xml:space="preserve">Sub-total Scope 3 (Materials): 8.69 kg CO2e</w:t>
      </w:r>
    </w:p>
    <w:bookmarkEnd w:id="39"/>
    <w:bookmarkStart w:id="40" w:name="upstream-transportation-and-distribution"/>
    <w:p>
      <w:pPr>
        <w:pStyle w:val="Heading4"/>
      </w:pPr>
      <w:r>
        <w:t xml:space="preserve">4.1.2 Upstream Transportation and Distribution</w:t>
      </w:r>
    </w:p>
    <w:p>
      <w:pPr>
        <w:pStyle w:val="FirstParagraph"/>
      </w:pPr>
      <w:r>
        <w:t xml:space="preserve">Using illustrative data from Section 3.2:</w:t>
      </w:r>
    </w:p>
    <w:p>
      <w:pPr>
        <w:numPr>
          <w:ilvl w:val="0"/>
          <w:numId w:val="1011"/>
        </w:numPr>
        <w:pStyle w:val="Compact"/>
      </w:pPr>
      <w:r>
        <w:t xml:space="preserve">Weight of goods per unit = 2.9 kg = 0.0029 tonnes</w:t>
      </w:r>
    </w:p>
    <w:p>
      <w:pPr>
        <w:numPr>
          <w:ilvl w:val="0"/>
          <w:numId w:val="1011"/>
        </w:numPr>
        <w:pStyle w:val="Compact"/>
      </w:pPr>
      <w:r>
        <w:t xml:space="preserve">Upstream Transport Distance = 1500 km</w:t>
      </w:r>
    </w:p>
    <w:p>
      <w:pPr>
        <w:numPr>
          <w:ilvl w:val="0"/>
          <w:numId w:val="1011"/>
        </w:numPr>
        <w:pStyle w:val="Compact"/>
      </w:pPr>
      <w:r>
        <w:t xml:space="preserve">Emission Factor (Heavy Duty Truck) = 0.10 kg CO2e/tonne-km</w:t>
      </w:r>
    </w:p>
    <w:p>
      <w:pPr>
        <w:numPr>
          <w:ilvl w:val="0"/>
          <w:numId w:val="1011"/>
        </w:numPr>
        <w:pStyle w:val="Compact"/>
      </w:pPr>
      <w:r>
        <w:t xml:space="preserve">Calculation: 0.0029 tonnes * 1500 km * 0.10 kg CO2e/tonne-km = 0.435 kg CO2e</w:t>
      </w:r>
    </w:p>
    <w:p>
      <w:pPr>
        <w:pStyle w:val="FirstParagraph"/>
      </w:pPr>
      <w:r>
        <w:rPr>
          <w:bCs/>
          <w:b/>
        </w:rPr>
        <w:t xml:space="preserve">Sub-total Scope 3 (Upstream Transport): 0.44 kg CO2e</w:t>
      </w:r>
    </w:p>
    <w:bookmarkEnd w:id="40"/>
    <w:bookmarkEnd w:id="41"/>
    <w:bookmarkStart w:id="42" w:name="Xcc088f9bdee8292d0ed8880fa27de5b5dd91b53"/>
    <w:p>
      <w:pPr>
        <w:pStyle w:val="Heading3"/>
      </w:pPr>
      <w:r>
        <w:t xml:space="preserve">4.2 Scope 2 - Purchased Electricity (Production)</w:t>
      </w:r>
    </w:p>
    <w:p>
      <w:pPr>
        <w:pStyle w:val="FirstParagraph"/>
      </w:pPr>
      <w:r>
        <w:t xml:space="preserve">Using illustrative data from Section 3.3 for production in China:</w:t>
      </w:r>
    </w:p>
    <w:p>
      <w:pPr>
        <w:numPr>
          <w:ilvl w:val="0"/>
          <w:numId w:val="1012"/>
        </w:numPr>
        <w:pStyle w:val="Compact"/>
      </w:pPr>
      <w:r>
        <w:t xml:space="preserve">Energy Intensity = 10 kWh/unit</w:t>
      </w:r>
    </w:p>
    <w:p>
      <w:pPr>
        <w:numPr>
          <w:ilvl w:val="0"/>
          <w:numId w:val="1012"/>
        </w:numPr>
        <w:pStyle w:val="Compact"/>
      </w:pPr>
      <w:r>
        <w:t xml:space="preserve">Renewable Energy Usage = 50%</w:t>
      </w:r>
    </w:p>
    <w:p>
      <w:pPr>
        <w:numPr>
          <w:ilvl w:val="0"/>
          <w:numId w:val="1012"/>
        </w:numPr>
        <w:pStyle w:val="Compact"/>
      </w:pPr>
      <w:r>
        <w:t xml:space="preserve">Non-renewable electricity = 10 kWh * (1 - 0.50) = 5 kWh</w:t>
      </w:r>
    </w:p>
    <w:p>
      <w:pPr>
        <w:numPr>
          <w:ilvl w:val="0"/>
          <w:numId w:val="1012"/>
        </w:numPr>
        <w:pStyle w:val="Compact"/>
      </w:pPr>
      <w:r>
        <w:t xml:space="preserve">China Grid Emission Factor = 0.58 kg CO2e/kWh</w:t>
      </w:r>
    </w:p>
    <w:p>
      <w:pPr>
        <w:numPr>
          <w:ilvl w:val="0"/>
          <w:numId w:val="1012"/>
        </w:numPr>
        <w:pStyle w:val="Compact"/>
      </w:pPr>
      <w:r>
        <w:t xml:space="preserve">Calculation: 5 kWh * 0.58 kg CO2e/kWh = 2.90 kg CO2e</w:t>
      </w:r>
    </w:p>
    <w:p>
      <w:pPr>
        <w:pStyle w:val="FirstParagraph"/>
      </w:pPr>
      <w:r>
        <w:rPr>
          <w:bCs/>
          <w:b/>
        </w:rPr>
        <w:t xml:space="preserve">Total Scope 2 (Production Energy): 2.90 kg CO2e</w:t>
      </w:r>
    </w:p>
    <w:bookmarkEnd w:id="42"/>
    <w:bookmarkStart w:id="43" w:name="scope-1---direct-emissions-production"/>
    <w:p>
      <w:pPr>
        <w:pStyle w:val="Heading3"/>
      </w:pPr>
      <w:r>
        <w:t xml:space="preserve">4.3 Scope 1 - Direct Emissions (Production)</w:t>
      </w:r>
    </w:p>
    <w:p>
      <w:pPr>
        <w:pStyle w:val="FirstParagraph"/>
      </w:pPr>
      <w:r>
        <w:t xml:space="preserve">No specific direct emission sources (e.g., on-site fuel combustion, process emissions) were provided in the parameters beyond the BOM. Given the \'factory_gate\' boundary and typical PCF conventions for product-level analysis, direct emissions from manufacturing processes (e.g., industrial gases, owned vehicle fleets) are assumed to be negligible or covered by the electricity consumption for this illustrative report. If direct fuel consumption or specific process emissions were present, they would be quantified here.</w:t>
      </w:r>
    </w:p>
    <w:p>
      <w:pPr>
        <w:pStyle w:val="BodyText"/>
      </w:pPr>
      <w:r>
        <w:rPr>
          <w:bCs/>
          <w:b/>
        </w:rPr>
        <w:t xml:space="preserve">Total Scope 1 (Direct Production): 0.00 kg CO2e (Assumed negligible for this product within the given parameters)</w:t>
      </w:r>
    </w:p>
    <w:bookmarkEnd w:id="43"/>
    <w:bookmarkStart w:id="47" w:name="X503038767f97bb71b33d45c3a4e22ddf59b4d7b"/>
    <w:p>
      <w:pPr>
        <w:pStyle w:val="Heading3"/>
      </w:pPr>
      <w:r>
        <w:t xml:space="preserve">4.4 Scope 3 - Downstream Emissions (Downstream Transport, Use Phase, End-of-Life)</w:t>
      </w:r>
    </w:p>
    <w:bookmarkStart w:id="44" w:name="X0be6203d70cc11445fa232805ca4ed71afd75f8"/>
    <w:p>
      <w:pPr>
        <w:pStyle w:val="Heading4"/>
      </w:pPr>
      <w:r>
        <w:t xml:space="preserve">4.4.1 Downstream Transportation and Distribution</w:t>
      </w:r>
    </w:p>
    <w:p>
      <w:pPr>
        <w:pStyle w:val="FirstParagraph"/>
      </w:pPr>
      <w:r>
        <w:t xml:space="preserve">Using illustrative data from Section 3.2:</w:t>
      </w:r>
    </w:p>
    <w:p>
      <w:pPr>
        <w:numPr>
          <w:ilvl w:val="0"/>
          <w:numId w:val="1013"/>
        </w:numPr>
        <w:pStyle w:val="Compact"/>
      </w:pPr>
      <w:r>
        <w:t xml:space="preserve">Product Weight = 3.0 kg = 0.003 tonnes</w:t>
      </w:r>
    </w:p>
    <w:p>
      <w:pPr>
        <w:numPr>
          <w:ilvl w:val="0"/>
          <w:numId w:val="1013"/>
        </w:numPr>
        <w:pStyle w:val="Compact"/>
      </w:pPr>
      <w:r>
        <w:t xml:space="preserve">Main Distribution (Truck, Heavy Duty): 0.003 tonnes * 500 km * 0.10 kg CO2e/tonne-km = 0.15 kg CO2e</w:t>
      </w:r>
    </w:p>
    <w:p>
      <w:pPr>
        <w:numPr>
          <w:ilvl w:val="0"/>
          <w:numId w:val="1013"/>
        </w:numPr>
        <w:pStyle w:val="Compact"/>
      </w:pPr>
      <w:r>
        <w:t xml:space="preserve">Last-Mile Delivery (Van, Light Commercial): 0.003 tonnes * 50 km * 0.40 kg CO2e/tonne-km = 0.06 kg CO2e</w:t>
      </w:r>
    </w:p>
    <w:p>
      <w:pPr>
        <w:numPr>
          <w:ilvl w:val="0"/>
          <w:numId w:val="1013"/>
        </w:numPr>
        <w:pStyle w:val="Compact"/>
      </w:pPr>
      <w:r>
        <w:t xml:space="preserve">Total Downstream Transport = 0.15 + 0.06 = 0.21 kg CO2e</w:t>
      </w:r>
    </w:p>
    <w:p>
      <w:pPr>
        <w:pStyle w:val="FirstParagraph"/>
      </w:pPr>
      <w:r>
        <w:rPr>
          <w:bCs/>
          <w:b/>
        </w:rPr>
        <w:t xml:space="preserve">Sub-total Scope 3 (Downstream Transport): 0.21 kg CO2e</w:t>
      </w:r>
    </w:p>
    <w:bookmarkEnd w:id="44"/>
    <w:bookmarkStart w:id="45" w:name="use-of-sold-products"/>
    <w:p>
      <w:pPr>
        <w:pStyle w:val="Heading4"/>
      </w:pPr>
      <w:r>
        <w:t xml:space="preserve">4.4.2 Use of Sold Products</w:t>
      </w:r>
    </w:p>
    <w:p>
      <w:pPr>
        <w:pStyle w:val="FirstParagraph"/>
      </w:pPr>
      <w:r>
        <w:t xml:space="preserve">Using illustrative data from Section 3.4 for product usage in Europe:</w:t>
      </w:r>
    </w:p>
    <w:p>
      <w:pPr>
        <w:numPr>
          <w:ilvl w:val="0"/>
          <w:numId w:val="1014"/>
        </w:numPr>
        <w:pStyle w:val="Compact"/>
      </w:pPr>
      <w:r>
        <w:t xml:space="preserve">Energy Consumption in Use = 20 kWh/year</w:t>
      </w:r>
    </w:p>
    <w:p>
      <w:pPr>
        <w:numPr>
          <w:ilvl w:val="0"/>
          <w:numId w:val="1014"/>
        </w:numPr>
        <w:pStyle w:val="Compact"/>
      </w:pPr>
      <w:r>
        <w:t xml:space="preserve">Product Lifespan = 5 years</w:t>
      </w:r>
    </w:p>
    <w:p>
      <w:pPr>
        <w:numPr>
          <w:ilvl w:val="0"/>
          <w:numId w:val="1014"/>
        </w:numPr>
        <w:pStyle w:val="Compact"/>
      </w:pPr>
      <w:r>
        <w:t xml:space="preserve">Total Use Phase Energy = 20 kWh/year * 5 years = 100 kWh</w:t>
      </w:r>
    </w:p>
    <w:p>
      <w:pPr>
        <w:numPr>
          <w:ilvl w:val="0"/>
          <w:numId w:val="1014"/>
        </w:numPr>
        <w:pStyle w:val="Compact"/>
      </w:pPr>
      <w:r>
        <w:t xml:space="preserve">Europe Grid Emission Factor = 0.26 kg CO2e/kWh</w:t>
      </w:r>
    </w:p>
    <w:p>
      <w:pPr>
        <w:numPr>
          <w:ilvl w:val="0"/>
          <w:numId w:val="1014"/>
        </w:numPr>
        <w:pStyle w:val="Compact"/>
      </w:pPr>
      <w:r>
        <w:t xml:space="preserve">Calculation: 100 kWh * 0.26 kg CO2e/kWh = 26.00 kg CO2e</w:t>
      </w:r>
    </w:p>
    <w:p>
      <w:pPr>
        <w:pStyle w:val="FirstParagraph"/>
      </w:pPr>
      <w:r>
        <w:rPr>
          <w:bCs/>
          <w:b/>
        </w:rPr>
        <w:t xml:space="preserve">Sub-total Scope 3 (Use Phase): 26.00 kg CO2e</w:t>
      </w:r>
    </w:p>
    <w:bookmarkEnd w:id="45"/>
    <w:bookmarkStart w:id="46" w:name="end-of-life-treatment-of-sold-products"/>
    <w:p>
      <w:pPr>
        <w:pStyle w:val="Heading4"/>
      </w:pPr>
      <w:r>
        <w:t xml:space="preserve">4.4.3 End-of-Life Treatment of Sold Products</w:t>
      </w:r>
    </w:p>
    <w:p>
      <w:pPr>
        <w:pStyle w:val="FirstParagraph"/>
      </w:pPr>
      <w:r>
        <w:t xml:space="preserve">Using illustrative data from Section 3.5:</w:t>
      </w:r>
    </w:p>
    <w:p>
      <w:pPr>
        <w:numPr>
          <w:ilvl w:val="0"/>
          <w:numId w:val="1015"/>
        </w:numPr>
        <w:pStyle w:val="Compact"/>
      </w:pPr>
      <w:r>
        <w:t xml:space="preserve">Total Product Weight at EoL = 3.0 kg</w:t>
      </w:r>
    </w:p>
    <w:p>
      <w:pPr>
        <w:numPr>
          <w:ilvl w:val="0"/>
          <w:numId w:val="1015"/>
        </w:numPr>
        <w:pStyle w:val="Compact"/>
      </w:pPr>
      <w:r>
        <w:t xml:space="preserve">Recyclability Percentage = 70%</w:t>
      </w:r>
    </w:p>
    <w:p>
      <w:pPr>
        <w:numPr>
          <w:ilvl w:val="0"/>
          <w:numId w:val="1015"/>
        </w:numPr>
        <w:pStyle w:val="Compact"/>
      </w:pPr>
      <w:r>
        <w:t xml:space="preserve">Recycled Weight = 3.0 kg * 0.70 = 2.1 kg</w:t>
      </w:r>
    </w:p>
    <w:p>
      <w:pPr>
        <w:numPr>
          <w:ilvl w:val="0"/>
          <w:numId w:val="1015"/>
        </w:numPr>
        <w:pStyle w:val="Compact"/>
      </w:pPr>
      <w:r>
        <w:t xml:space="preserve">Disposed Weight (Landfill/Incineration) = 3.0 kg * 0.30 = 0.9 kg</w:t>
      </w:r>
    </w:p>
    <w:p>
      <w:pPr>
        <w:pStyle w:val="FirstParagraph"/>
      </w:pPr>
      <w:r>
        <w:rPr>
          <w:bCs/>
          <w:b/>
        </w:rPr>
        <w:t xml:space="preserve">Recycling Credits (Avoided Emissions):</w:t>
      </w:r>
      <w:r>
        <w:t xml:space="preserve"> </w:t>
      </w:r>
      <w:r>
        <w:t xml:space="preserve">For simplicity and demonstration, we apply an average avoided emission factor of 80% compared to virgin material production for the recycled portion. We\'ll use the total material impact (8.69 kg CO2e from BOM) as a proxy for virgin production emissions, scaled by the recyclable weight. This is a simplification; a more precise analysis would apply specific recycling credits per material type.</w:t>
      </w:r>
    </w:p>
    <w:p>
      <w:pPr>
        <w:numPr>
          <w:ilvl w:val="0"/>
          <w:numId w:val="1016"/>
        </w:numPr>
        <w:pStyle w:val="Compact"/>
      </w:pPr>
      <w:r>
        <w:t xml:space="preserve">Proportional Material Impact for Recycled Content: (2.1 kg / 2.9 kg) * 8.69 kg CO2e = 6.29 kg CO2e</w:t>
      </w:r>
    </w:p>
    <w:p>
      <w:pPr>
        <w:numPr>
          <w:ilvl w:val="0"/>
          <w:numId w:val="1016"/>
        </w:numPr>
        <w:pStyle w:val="Compact"/>
      </w:pPr>
      <w:r>
        <w:t xml:space="preserve">Avoided Emissions from Recycling: 6.29 kg CO2e * 0.80 = -5.03 kg CO2e</w:t>
      </w:r>
    </w:p>
    <w:p>
      <w:pPr>
        <w:pStyle w:val="FirstParagraph"/>
      </w:pPr>
      <w:r>
        <w:rPr>
          <w:bCs/>
          <w:b/>
        </w:rPr>
        <w:t xml:space="preserve">Disposal Emissions:</w:t>
      </w:r>
      <w:r>
        <w:t xml:space="preserve"> </w:t>
      </w:r>
      <w:r>
        <w:t xml:space="preserve">For the 0.9 kg disposed, we assume a generic landfill/incineration emission factor (illustrative: 1.0 kg CO2e/kg for mixed waste, for demonstration).</w:t>
      </w:r>
    </w:p>
    <w:p>
      <w:pPr>
        <w:numPr>
          <w:ilvl w:val="0"/>
          <w:numId w:val="1017"/>
        </w:numPr>
        <w:pStyle w:val="Compact"/>
      </w:pPr>
      <w:r>
        <w:t xml:space="preserve">Disposal Emissions: 0.9 kg * 1.0 kg CO2e/kg = 0.90 kg CO2e</w:t>
      </w:r>
    </w:p>
    <w:p>
      <w:pPr>
        <w:pStyle w:val="FirstParagraph"/>
      </w:pPr>
      <w:r>
        <w:rPr>
          <w:bCs/>
          <w:b/>
        </w:rPr>
        <w:t xml:space="preserve">Circular/Take-back Programs:</w:t>
      </w:r>
      <w:r>
        <w:t xml:space="preserve"> </w:t>
      </w:r>
      <w:r>
        <w:t xml:space="preserve">The 10% return rate for high-value components implies additional benefits beyond standard recyclability, but without further data on reprocessing and reuse, this is acknowledged as a mitigation effort without specific quantification in this simplified EoL model. The avoided emissions for recycled content already account for a significant portion of circularity benefits.</w:t>
      </w:r>
    </w:p>
    <w:p>
      <w:pPr>
        <w:pStyle w:val="BodyText"/>
      </w:pPr>
      <w:r>
        <w:rPr>
          <w:bCs/>
          <w:b/>
        </w:rPr>
        <w:t xml:space="preserve">Sub-total Scope 3 (End-of-Life):</w:t>
      </w:r>
      <w:r>
        <w:t xml:space="preserve"> </w:t>
      </w:r>
      <w:r>
        <w:t xml:space="preserve">-5.03 kg CO2e (credits) + 0.90 kg CO2e (disposal) = -4.13 kg CO2e</w:t>
      </w:r>
    </w:p>
    <w:bookmarkEnd w:id="46"/>
    <w:bookmarkEnd w:id="47"/>
    <w:bookmarkStart w:id="48" w:name="lsr-standard-application-conceptual"/>
    <w:p>
      <w:pPr>
        <w:pStyle w:val="Heading3"/>
      </w:pPr>
      <w:r>
        <w:t xml:space="preserve">4.5 LSR Standard Application (Conceptual)</w:t>
      </w:r>
    </w:p>
    <w:p>
      <w:pPr>
        <w:pStyle w:val="FirstParagraph"/>
      </w:pPr>
      <w:r>
        <w:t xml:space="preserve">While specific data for land-use change and removals were not provided, under the 2026 LSR Standard,</w:t>
      </w:r>
      <w:r>
        <w:t xml:space="preserve"> </w:t>
      </w:r>
      <w:r>
        <w:rPr>
          <w:bCs/>
          <w:b/>
        </w:rPr>
        <w:t xml:space="preserve">hzzmxooduz</w:t>
      </w:r>
      <w:r>
        <w:t xml:space="preserve"> </w:t>
      </w:r>
      <w:r>
        <w:t xml:space="preserve">would need to:</w:t>
      </w:r>
    </w:p>
    <w:p>
      <w:pPr>
        <w:numPr>
          <w:ilvl w:val="0"/>
          <w:numId w:val="1018"/>
        </w:numPr>
        <w:pStyle w:val="Compact"/>
      </w:pPr>
      <w:r>
        <w:t xml:space="preserve">Assess and quantify GHG emissions and CO2 removals related to land management and land-use change attributable to the raw materials sourced for</w:t>
      </w:r>
      <w:r>
        <w:t xml:space="preserve"> </w:t>
      </w:r>
      <w:r>
        <w:rPr>
          <w:bCs/>
          <w:b/>
        </w:rPr>
        <w:t xml:space="preserve">wrjdyghkng</w:t>
      </w:r>
      <w:r>
        <w:t xml:space="preserve"> </w:t>
      </w:r>
      <w:r>
        <w:t xml:space="preserve">(e.g., agriculture for bio-based materials, mining impacts on land).</w:t>
      </w:r>
    </w:p>
    <w:p>
      <w:pPr>
        <w:numPr>
          <w:ilvl w:val="0"/>
          <w:numId w:val="1018"/>
        </w:numPr>
        <w:pStyle w:val="Compact"/>
      </w:pPr>
      <w:r>
        <w:t xml:space="preserve">Report any CO2 removals with storage in land or geologic carbon pools linked to product components or manufacturing processes.</w:t>
      </w:r>
    </w:p>
    <w:p>
      <w:pPr>
        <w:numPr>
          <w:ilvl w:val="0"/>
          <w:numId w:val="1018"/>
        </w:numPr>
        <w:pStyle w:val="Compact"/>
      </w:pPr>
      <w:r>
        <w:t xml:space="preserve">Consider emissions from biogenic products across the value chain.</w:t>
      </w:r>
    </w:p>
    <w:p>
      <w:pPr>
        <w:pStyle w:val="FirstParagraph"/>
      </w:pPr>
      <w:r>
        <w:t xml:space="preserve">For this analysis, without specific land-use data, the material emission factors implicitly cover some cradle-to-gate impacts that *could* include upstream land-use change. Future reports would explicitly break these out under the LSR guidance, effective January 1, 2027.</w:t>
      </w:r>
    </w:p>
    <w:p>
      <w:r>
        <w:pict>
          <v:rect style="width:0;height:1.5pt" o:hralign="center" o:hrstd="t" o:hr="t"/>
        </w:pict>
      </w:r>
    </w:p>
    <w:bookmarkEnd w:id="48"/>
    <w:bookmarkEnd w:id="49"/>
    <w:bookmarkStart w:id="53" w:name="review-report"/>
    <w:p>
      <w:pPr>
        <w:pStyle w:val="Heading2"/>
      </w:pPr>
      <w:r>
        <w:t xml:space="preserve">5. Review &amp; Report</w:t>
      </w:r>
    </w:p>
    <w:bookmarkStart w:id="50" w:name="Xa06a599d50d3d27b489650cfb19183586ffd771"/>
    <w:p>
      <w:pPr>
        <w:pStyle w:val="Heading3"/>
      </w:pPr>
      <w:r>
        <w:t xml:space="preserve">5.1 Summary of Product Carbon Footprint (wrjdyghkng)</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 CO2e per functional unit)</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2.90</w:t>
            </w:r>
          </w:p>
        </w:tc>
        <w:tc>
          <w:tcPr/>
          <w:p>
            <w:pPr>
              <w:pStyle w:val="Compact"/>
              <w:jc w:val="left"/>
            </w:pPr>
            <w:r>
              <w:t xml:space="preserve">8.5%</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8.69</w:t>
            </w:r>
          </w:p>
        </w:tc>
        <w:tc>
          <w:tcPr/>
          <w:p>
            <w:pPr>
              <w:pStyle w:val="Compact"/>
              <w:jc w:val="left"/>
            </w:pPr>
            <w:r>
              <w:t xml:space="preserve">25.5%</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0.44</w:t>
            </w:r>
          </w:p>
        </w:tc>
        <w:tc>
          <w:tcPr/>
          <w:p>
            <w:pPr>
              <w:pStyle w:val="Compact"/>
              <w:jc w:val="left"/>
            </w:pPr>
            <w:r>
              <w:t xml:space="preserve">1.3%</w:t>
            </w:r>
          </w:p>
        </w:tc>
      </w:tr>
      <w:tr>
        <w:tc>
          <w:tcPr>
            <w:gridSpan w:val="1"/>
            <w:vMerge w:val="continue"/>
          </w:tcPr>
          <w:p>
            <w:pPr/>
          </w:p>
        </w:tc>
        <w:tc>
          <w:tcPr/>
          <w:p>
            <w:pPr>
              <w:pStyle w:val="Compact"/>
              <w:jc w:val="left"/>
            </w:pPr>
            <w:r>
              <w:t xml:space="preserve">Downstream Transportation &amp; Distribution</w:t>
            </w:r>
          </w:p>
        </w:tc>
        <w:tc>
          <w:tcPr/>
          <w:p>
            <w:pPr>
              <w:pStyle w:val="Compact"/>
              <w:jc w:val="left"/>
            </w:pPr>
            <w:r>
              <w:t xml:space="preserve">0.21</w:t>
            </w:r>
          </w:p>
        </w:tc>
        <w:tc>
          <w:tcPr/>
          <w:p>
            <w:pPr>
              <w:pStyle w:val="Compact"/>
              <w:jc w:val="left"/>
            </w:pPr>
            <w:r>
              <w:t xml:space="preserve">0.6%</w:t>
            </w:r>
          </w:p>
        </w:tc>
      </w:tr>
      <w:tr>
        <w:tc>
          <w:tcPr>
            <w:gridSpan w:val="1"/>
            <w:vMerge w:val="continue"/>
          </w:tcPr>
          <w:p>
            <w:pPr/>
          </w:p>
        </w:tc>
        <w:tc>
          <w:tcPr/>
          <w:p>
            <w:pPr>
              <w:pStyle w:val="Compact"/>
              <w:jc w:val="left"/>
            </w:pPr>
            <w:r>
              <w:t xml:space="preserve">Use of Sold Products</w:t>
            </w:r>
          </w:p>
        </w:tc>
        <w:tc>
          <w:tcPr/>
          <w:p>
            <w:pPr>
              <w:pStyle w:val="Compact"/>
              <w:jc w:val="left"/>
            </w:pPr>
            <w:r>
              <w:t xml:space="preserve">26.00</w:t>
            </w:r>
          </w:p>
        </w:tc>
        <w:tc>
          <w:tcPr/>
          <w:p>
            <w:pPr>
              <w:pStyle w:val="Compact"/>
              <w:jc w:val="left"/>
            </w:pPr>
            <w:r>
              <w:t xml:space="preserve">76.2%</w:t>
            </w:r>
          </w:p>
        </w:tc>
      </w:tr>
      <w:tr>
        <w:tc>
          <w:tcPr/>
          <w:p>
            <w:pPr>
              <w:pStyle w:val="Compact"/>
              <w:jc w:val="left"/>
            </w:pPr>
            <w:r>
              <w:t xml:space="preserve">Scope 3 (Net)</w:t>
            </w:r>
          </w:p>
        </w:tc>
        <w:tc>
          <w:tcPr/>
          <w:p>
            <w:pPr>
              <w:pStyle w:val="Compact"/>
              <w:jc w:val="left"/>
            </w:pPr>
            <w:r>
              <w:t xml:space="preserve">End-of-Life Treatment of Sold Products (incl. credits)</w:t>
            </w:r>
          </w:p>
        </w:tc>
        <w:tc>
          <w:tcPr/>
          <w:p>
            <w:pPr>
              <w:pStyle w:val="Compact"/>
              <w:jc w:val="left"/>
            </w:pPr>
            <w:r>
              <w:t xml:space="preserve">-4.13</w:t>
            </w:r>
          </w:p>
        </w:tc>
        <w:tc>
          <w:tcPr/>
          <w:p>
            <w:pPr>
              <w:pStyle w:val="Compact"/>
              <w:jc w:val="left"/>
            </w:pPr>
            <w:r>
              <w:t xml:space="preserve">-12.1%</w:t>
            </w:r>
          </w:p>
        </w:tc>
      </w:tr>
      <w:tr>
        <w:tc>
          <w:tcPr>
            <w:gridSpan w:val="2"/>
          </w:tcPr>
          <w:p>
            <w:pPr>
              <w:pStyle w:val="Compact"/>
              <w:jc w:val="left"/>
            </w:pPr>
            <w:r>
              <w:t xml:space="preserve">Total Product Carbon Footprint (Net)</w:t>
            </w:r>
          </w:p>
        </w:tc>
        <w:tc>
          <w:tcPr/>
          <w:p>
            <w:pPr>
              <w:pStyle w:val="Compact"/>
              <w:jc w:val="left"/>
            </w:pPr>
            <w:r>
              <w:t xml:space="preserve">34.11 kg CO2e</w:t>
            </w:r>
          </w:p>
        </w:tc>
        <w:tc>
          <w:tcPr/>
          <w:p>
            <w:pPr>
              <w:pStyle w:val="Compact"/>
              <w:jc w:val="left"/>
            </w:pPr>
            <w:r>
              <w:t xml:space="preserve">100.0%</w:t>
            </w:r>
          </w:p>
        </w:tc>
      </w:tr>
    </w:tbl>
    <w:bookmarkEnd w:id="50"/>
    <w:bookmarkStart w:id="51" w:name="hotspot-analysis"/>
    <w:p>
      <w:pPr>
        <w:pStyle w:val="Heading3"/>
      </w:pPr>
      <w:r>
        <w:t xml:space="preserve">5.2 Hotspot Analysis</w:t>
      </w:r>
    </w:p>
    <w:p>
      <w:pPr>
        <w:pStyle w:val="FirstParagraph"/>
      </w:pPr>
      <w:r>
        <w:t xml:space="preserve">Based on the illustrative calculations, the primary hotspots for the product</w:t>
      </w:r>
      <w:r>
        <w:t xml:space="preserve"> </w:t>
      </w:r>
      <w:r>
        <w:rPr>
          <w:bCs/>
          <w:b/>
        </w:rPr>
        <w:t xml:space="preserve">wrjdyghkng</w:t>
      </w:r>
      <w:r>
        <w:t xml:space="preserve"> </w:t>
      </w:r>
      <w:r>
        <w:t xml:space="preserve">are:</w:t>
      </w:r>
    </w:p>
    <w:p>
      <w:pPr>
        <w:numPr>
          <w:ilvl w:val="0"/>
          <w:numId w:val="1019"/>
        </w:numPr>
        <w:pStyle w:val="Compact"/>
      </w:pPr>
      <w:r>
        <w:rPr>
          <w:bCs/>
          <w:b/>
        </w:rPr>
        <w:t xml:space="preserve">Use Phase (Scope 3):</w:t>
      </w:r>
      <w:r>
        <w:t xml:space="preserve"> </w:t>
      </w:r>
      <w:r>
        <w:t xml:space="preserve">Representing the largest portion at 76.2% of the total footprint. This indicates that the energy consumption during the product\'s 5-year lifespan is the most significant contributor to its overall carbon intensity. Efforts to improve energy efficiency of the product in use or encourage renewable energy adoption by end-users would yield substantial reductions.</w:t>
      </w:r>
    </w:p>
    <w:p>
      <w:pPr>
        <w:numPr>
          <w:ilvl w:val="0"/>
          <w:numId w:val="1019"/>
        </w:numPr>
        <w:pStyle w:val="Compact"/>
      </w:pPr>
      <w:r>
        <w:rPr>
          <w:bCs/>
          <w:b/>
        </w:rPr>
        <w:t xml:space="preserve">Purchased Goods &amp; Services (Materials - Scope 3):</w:t>
      </w:r>
      <w:r>
        <w:t xml:space="preserve"> </w:t>
      </w:r>
      <w:r>
        <w:t xml:space="preserve">Contributing 25.5%, materials acquisition and processing are also a major hotspot. The high emission factor for aluminum (15.00 kg CO2e/kg) significantly impacts this category, despite its low quantity. Investigating lower-carbon material alternatives, increasing recycled content, or working with suppliers on decarbonization efforts would be crucial.</w:t>
      </w:r>
    </w:p>
    <w:p>
      <w:pPr>
        <w:numPr>
          <w:ilvl w:val="0"/>
          <w:numId w:val="1019"/>
        </w:numPr>
        <w:pStyle w:val="Compact"/>
      </w:pPr>
      <w:r>
        <w:rPr>
          <w:bCs/>
          <w:b/>
        </w:rPr>
        <w:t xml:space="preserve">Production Energy (Scope 2):</w:t>
      </w:r>
      <w:r>
        <w:t xml:space="preserve"> </w:t>
      </w:r>
      <w:r>
        <w:t xml:space="preserve">While lower than the other two, at 8.5%, the electricity consumed in the Chinese factory is still notable. Increasing the reliance on renewable energy sources beyond the current illustrative 50% would directly reduce this portion.</w:t>
      </w:r>
    </w:p>
    <w:bookmarkEnd w:id="51"/>
    <w:bookmarkStart w:id="52" w:name="reliability-and-limitations"/>
    <w:p>
      <w:pPr>
        <w:pStyle w:val="Heading3"/>
      </w:pPr>
      <w:r>
        <w:t xml:space="preserve">5.3 Reliability and Limitations</w:t>
      </w:r>
    </w:p>
    <w:p>
      <w:pPr>
        <w:pStyle w:val="FirstParagraph"/>
      </w:pPr>
      <w:r>
        <w:t xml:space="preserve">This report provides a robust methodological framework for conducting a PCF analysis in accordance with the GHG Protocol. However, it is important to acknowledge the following limitations:</w:t>
      </w:r>
    </w:p>
    <w:p>
      <w:pPr>
        <w:numPr>
          <w:ilvl w:val="0"/>
          <w:numId w:val="1020"/>
        </w:numPr>
        <w:pStyle w:val="Compact"/>
      </w:pPr>
      <w:r>
        <w:rPr>
          <w:bCs/>
          <w:b/>
        </w:rPr>
        <w:t xml:space="preserve">Illustrative Data:</w:t>
      </w:r>
      <w:r>
        <w:t xml:space="preserve"> </w:t>
      </w:r>
      <w:r>
        <w:t xml:space="preserve">Many of the key parameters (BOM, transport distances, energy usage, lifespan, recyclability) were provided as placeholder strings. The numerical values used in this report are illustrative, based on reasonable assumptions and publicly available industry-average emission factors (e.g., from Climatiq, IEA, DEFRA, OpenCO2.net, Gold Standard). A real-world PCF would require specific, primary data from</w:t>
      </w:r>
      <w:r>
        <w:t xml:space="preserve"> </w:t>
      </w:r>
      <w:r>
        <w:rPr>
          <w:bCs/>
          <w:b/>
        </w:rPr>
        <w:t xml:space="preserve">hzzmxooduz</w:t>
      </w:r>
      <w:r>
        <w:t xml:space="preserve"> </w:t>
      </w:r>
      <w:r>
        <w:t xml:space="preserve">and its supply chain for higher accuracy.</w:t>
      </w:r>
    </w:p>
    <w:p>
      <w:pPr>
        <w:numPr>
          <w:ilvl w:val="0"/>
          <w:numId w:val="1020"/>
        </w:numPr>
        <w:pStyle w:val="Compact"/>
      </w:pPr>
      <w:r>
        <w:rPr>
          <w:bCs/>
          <w:b/>
        </w:rPr>
        <w:t xml:space="preserve">Geographic Specificity:</w:t>
      </w:r>
      <w:r>
        <w:t xml:space="preserve"> </w:t>
      </w:r>
      <w:r>
        <w:t xml:space="preserve">While production is stated as China and supply chain as Europe-focused, generic emission factors for these regions were used. Highly specific, supplier-specific data would improve precision.</w:t>
      </w:r>
    </w:p>
    <w:p>
      <w:pPr>
        <w:numPr>
          <w:ilvl w:val="0"/>
          <w:numId w:val="1020"/>
        </w:numPr>
        <w:pStyle w:val="Compact"/>
      </w:pPr>
      <w:r>
        <w:rPr>
          <w:bCs/>
          <w:b/>
        </w:rPr>
        <w:t xml:space="preserve">LSR Standard:</w:t>
      </w:r>
      <w:r>
        <w:t xml:space="preserve"> </w:t>
      </w:r>
      <w:r>
        <w:t xml:space="preserve">The conceptual application of the 2026 LSR Standard highlights its importance, but a full quantification was not possible due to the absence of detailed land-use and carbon removal data specific to</w:t>
      </w:r>
      <w:r>
        <w:t xml:space="preserve"> </w:t>
      </w:r>
      <w:r>
        <w:rPr>
          <w:bCs/>
          <w:b/>
        </w:rPr>
        <w:t xml:space="preserve">wrjdyghkng</w:t>
      </w:r>
      <w:r>
        <w:t xml:space="preserve">\'s value chain.</w:t>
      </w:r>
    </w:p>
    <w:p>
      <w:pPr>
        <w:numPr>
          <w:ilvl w:val="0"/>
          <w:numId w:val="1020"/>
        </w:numPr>
        <w:pStyle w:val="Compact"/>
      </w:pPr>
      <w:r>
        <w:rPr>
          <w:bCs/>
          <w:b/>
        </w:rPr>
        <w:t xml:space="preserve">Scope 3 Coverage:</w:t>
      </w:r>
      <w:r>
        <w:t xml:space="preserve"> </w:t>
      </w:r>
      <w:r>
        <w:t xml:space="preserve">While a strong effort was made to cover critical Scope 3 categories to meet the 95% target, some minor categories (e.g., business travel, employee commuting, capital goods) were not explicitly quantified due to the absence of specific parameters. A full Scope 3 inventory would investigate all 15 categories as defined by the GHG Protocol.</w:t>
      </w:r>
    </w:p>
    <w:p>
      <w:pPr>
        <w:pStyle w:val="FirstParagraph"/>
      </w:pPr>
      <w:r>
        <w:t xml:space="preserve">To enhance the reliability of future PCF analyses,</w:t>
      </w:r>
      <w:r>
        <w:t xml:space="preserve"> </w:t>
      </w:r>
      <w:r>
        <w:rPr>
          <w:bCs/>
          <w:b/>
        </w:rPr>
        <w:t xml:space="preserve">hzzmxooduz</w:t>
      </w:r>
      <w:r>
        <w:t xml:space="preserve"> </w:t>
      </w:r>
      <w:r>
        <w:t xml:space="preserve">should prioritize collecting primary data for material composition, supplier-specific emission factors, actual transportation distances and modes, precise energy consumption data (both in production and use phase), and detailed end-of-life recovery rates.</w:t>
      </w:r>
    </w:p>
    <w:p>
      <w:r>
        <w:pict>
          <v:rect style="width:0;height:1.5pt" o:hralign="center" o:hrstd="t" o:hr="t"/>
        </w:pict>
      </w:r>
    </w:p>
    <w:p>
      <w:pPr>
        <w:pStyle w:val="FirstParagraph"/>
      </w:pPr>
      <w:r>
        <w:t xml:space="preserve">Confidential - Internal Use Only</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wrjdyghkng - hzzmxooduz</dc:title>
  <dc:creator/>
  <dc:description>High-detail Product Carbon Footprint (PCF) analysis for wrjdyghkng by Senior Sustainability Consultant lvktglhuwx for hzzmxooduz, adhering to GHG Protocol and 2026 LSR Update, with a focus on supply chain in Europe and production in China.</dc:description>
  <dc:language>en</dc:language>
  <cp:keywords/>
  <dcterms:created xsi:type="dcterms:W3CDTF">2026-05-30T21:14:10Z</dcterms:created>
  <dcterms:modified xsi:type="dcterms:W3CDTF">2026-05-30T21:14:10Z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