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vuqekttsko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vuqekttsko</w:t>
      </w:r>
    </w:p>
    <w:p>
      <w:pPr>
        <w:pStyle w:val="BodyText"/>
      </w:pPr>
      <w:r>
        <w:rPr>
          <w:bCs/>
          <w:b/>
        </w:rPr>
        <w:t xml:space="preserve">Company Name:</w:t>
      </w:r>
      <w:r>
        <w:t xml:space="preserve"> </w:t>
      </w:r>
      <w:r>
        <w:t xml:space="preserve">numojsgfhk</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sysrpygefe</w:t>
      </w:r>
    </w:p>
    <w:p>
      <w:pPr>
        <w:pStyle w:val="BodyText"/>
      </w:pPr>
      <w:r>
        <w:br/>
      </w:r>
      <w:r>
        <w:br/>
      </w:r>
    </w:p>
    <w:p>
      <w:pPr>
        <w:pStyle w:val="BodyText"/>
      </w:pPr>
      <w:r>
        <w:t xml:space="preserve">This report is generated based on available data and industry standards. While every effort has been made to ensure accuracy, the results are indicative and subject to the quality and completeness of the input data and chosen assumptions for emission factors.</w:t>
      </w:r>
    </w:p>
    <w:bookmarkEnd w:id="20"/>
    <w:bookmarkStart w:id="43" w:name="X47c533a86085c8f39fbd5f660ad38b5ef56172a"/>
    <w:p>
      <w:pPr>
        <w:pStyle w:val="Heading1"/>
      </w:pPr>
      <w:r>
        <w:t xml:space="preserve">Product Carbon Footprint Analysis for vuqekttsko</w:t>
      </w:r>
    </w:p>
    <w:p>
      <w:pPr>
        <w:pStyle w:val="FirstParagraph"/>
      </w:pPr>
      <w:r>
        <w:rPr>
          <w:bCs/>
          <w:b/>
        </w:rPr>
        <w:t xml:space="preserve">Generated Date:</w:t>
      </w:r>
      <w:r>
        <w:t xml:space="preserve"> </w:t>
      </w:r>
      <w:r>
        <w:t xml:space="preserve">2026-05-17 (UTC)</w:t>
      </w:r>
    </w:p>
    <w:p>
      <w:pPr>
        <w:pStyle w:val="BodyText"/>
      </w:pPr>
      <w:r>
        <w:rPr>
          <w:bCs/>
          <w:b/>
        </w:rPr>
        <w:t xml:space="preserve">Senior Sustainability Consultant:</w:t>
      </w:r>
      <w:r>
        <w:t xml:space="preserve"> </w:t>
      </w:r>
      <w:r>
        <w:t xml:space="preserve">sysrpygefe</w:t>
      </w:r>
    </w:p>
    <w:p>
      <w:pPr>
        <w:pStyle w:val="BodyText"/>
      </w:pPr>
      <w:r>
        <w:t xml:space="preserve">This report presents a high-detail Product Carbon Footprint (PCF) analysis for the product "vuqekttsko" manufactured by "numojsgfhk", adhering to the Greenhouse Gas (GHG) Protocol standards and incorporating the latest 2026 Land Sector and Removals (LSR) update.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analysis provides a comprehensive assessment of the greenhouse gas emissions associated with the entire lifecycle of the product vuqekttsko, from material acquisition through to its end-of-life. The total carbon footprint for one functional unit of vuqekttsko is estimated to be</w:t>
      </w:r>
      <w:r>
        <w:t xml:space="preserve"> </w:t>
      </w:r>
      <w:r>
        <w:rPr>
          <w:bCs/>
          <w:b/>
        </w:rPr>
        <w:t xml:space="preserve">28.62 kg CO2e</w:t>
      </w:r>
      <w:r>
        <w:t xml:space="preserve">. The primary hotspots identified are the Use Phase, followed by Materials Acquisition &amp; Processing, and Manufacturing. Strategic recommendations for emission reduction are provided, focusing on these key areas.</w:t>
      </w:r>
    </w:p>
    <w:p>
      <w:r>
        <w:pict>
          <v:rect style="width:0;height:1.5pt" o:hralign="center" o:hrstd="t" o:hr="t"/>
        </w:pict>
      </w:r>
    </w:p>
    <w:bookmarkEnd w:id="21"/>
    <w:bookmarkStart w:id="23" w:name="methodology"/>
    <w:p>
      <w:pPr>
        <w:pStyle w:val="Heading2"/>
      </w:pPr>
      <w:r>
        <w:t xml:space="preserve">Methodology</w:t>
      </w:r>
    </w:p>
    <w:p>
      <w:pPr>
        <w:pStyle w:val="FirstParagraph"/>
      </w:pPr>
      <w:r>
        <w:t xml:space="preserve">The Product Carbon Footprint (PCF) analysis follows the five-step methodology outlined by the GHG Protocol.</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w:t>
      </w:r>
      <w:r>
        <w:t xml:space="preserve"> </w:t>
      </w:r>
      <w:r>
        <w:t xml:space="preserve">Identification and mapping of all relevant life cycle stages and associated processes.</w:t>
      </w:r>
    </w:p>
    <w:p>
      <w:pPr>
        <w:numPr>
          <w:ilvl w:val="0"/>
          <w:numId w:val="1001"/>
        </w:numPr>
        <w:pStyle w:val="Compact"/>
      </w:pPr>
      <w:r>
        <w:rPr>
          <w:bCs/>
          <w:b/>
        </w:rPr>
        <w:t xml:space="preserve">Collect Data:</w:t>
      </w:r>
      <w:r>
        <w:t xml:space="preserve"> </w:t>
      </w:r>
      <w:r>
        <w:t xml:space="preserve">Gathering of primary and secondary data points for all identified inputs and outputs.</w:t>
      </w:r>
    </w:p>
    <w:p>
      <w:pPr>
        <w:numPr>
          <w:ilvl w:val="0"/>
          <w:numId w:val="1001"/>
        </w:numPr>
        <w:pStyle w:val="Compact"/>
      </w:pPr>
      <w:r>
        <w:rPr>
          <w:bCs/>
          <w:b/>
        </w:rPr>
        <w:t xml:space="preserve">Calculate Emissions:</w:t>
      </w:r>
      <w:r>
        <w:t xml:space="preserve"> </w:t>
      </w:r>
      <w:r>
        <w:t xml:space="preserve">Quantification of greenhouse gas emissions using activity data multiplied by appropriate emission factors.</w:t>
      </w:r>
    </w:p>
    <w:p>
      <w:pPr>
        <w:numPr>
          <w:ilvl w:val="0"/>
          <w:numId w:val="1001"/>
        </w:numPr>
        <w:pStyle w:val="Compact"/>
      </w:pPr>
      <w:r>
        <w:rPr>
          <w:bCs/>
          <w:b/>
        </w:rPr>
        <w:t xml:space="preserve">Review &amp; Report:</w:t>
      </w:r>
      <w:r>
        <w:t xml:space="preserve"> </w:t>
      </w:r>
      <w:r>
        <w:t xml:space="preserve">Analysis of results, identification of hotspots, assessment of data reliability, and final reporting.</w:t>
      </w:r>
    </w:p>
    <w:bookmarkStart w:id="22" w:name="ghg-protocol-adherence-and-2026-updates"/>
    <w:p>
      <w:pPr>
        <w:pStyle w:val="Heading3"/>
      </w:pPr>
      <w:r>
        <w:t xml:space="preserve">GHG Protocol Adherence and 2026 Updates</w:t>
      </w:r>
    </w:p>
    <w:p>
      <w:pPr>
        <w:pStyle w:val="FirstParagraph"/>
      </w:pPr>
      <w:r>
        <w:t xml:space="preserve">This report strictly adheres to the GHG Protocol\'s classification of emissions:</w:t>
      </w:r>
    </w:p>
    <w:p>
      <w:pPr>
        <w:numPr>
          <w:ilvl w:val="0"/>
          <w:numId w:val="1002"/>
        </w:numPr>
        <w:pStyle w:val="Compact"/>
      </w:pPr>
      <w:r>
        <w:rPr>
          <w:bCs/>
          <w:b/>
        </w:rPr>
        <w:t xml:space="preserve">Scope 1:</w:t>
      </w:r>
      <w:r>
        <w:t xml:space="preserve"> </w:t>
      </w:r>
      <w:r>
        <w:t xml:space="preserve">Direct GHG emissions from sources owned or controlled by numojsgfhk (e.g., on-site fuel combustion).</w:t>
      </w:r>
    </w:p>
    <w:p>
      <w:pPr>
        <w:numPr>
          <w:ilvl w:val="0"/>
          <w:numId w:val="1002"/>
        </w:numPr>
        <w:pStyle w:val="Compact"/>
      </w:pPr>
      <w:r>
        <w:rPr>
          <w:bCs/>
          <w:b/>
        </w:rPr>
        <w:t xml:space="preserve">Scope 2:</w:t>
      </w:r>
      <w:r>
        <w:t xml:space="preserve"> </w:t>
      </w:r>
      <w:r>
        <w:t xml:space="preserve">Indirect GHG emissions from the generation of purchased electricity, steam, heat, or cooling consumed by numojsgfhk.</w:t>
      </w:r>
    </w:p>
    <w:p>
      <w:pPr>
        <w:numPr>
          <w:ilvl w:val="0"/>
          <w:numId w:val="1002"/>
        </w:numPr>
        <w:pStyle w:val="Compact"/>
      </w:pPr>
      <w:r>
        <w:rPr>
          <w:bCs/>
          <w:b/>
        </w:rPr>
        <w:t xml:space="preserve">Scope 3:</w:t>
      </w:r>
      <w:r>
        <w:t xml:space="preserve"> </w:t>
      </w:r>
      <w:r>
        <w:t xml:space="preserve">All other indirect emissions occurring in the value chain of numojsgfhk, both upstream and downstream, encompassing categories such as purchased goods and services, transportation, use of sold products, and end-of-life treatment.</w:t>
      </w:r>
    </w:p>
    <w:p>
      <w:pPr>
        <w:pStyle w:val="FirstParagraph"/>
      </w:pPr>
      <w:r>
        <w:t xml:space="preserve">In line with the 2026 updates, the analysis incorporates the Land Sector and Removals (LSR) Standard for land use and carbon removals where applicable. The LSR Standard, effective January 1, 2027, provides accounting requirements for entities with significant land sector activities and those reporting CO2 removals. Furthermore, a robust effort has been made to ensure at least 95% coverage for Scope 3 reporting, aligning with the proposed 2026 requirements aimed at increasing completeness, consistency, and transparency in GHG inventories.</w:t>
      </w:r>
    </w:p>
    <w:p>
      <w:r>
        <w:pict>
          <v:rect style="width:0;height:1.5pt" o:hralign="center" o:hrstd="t" o:hr="t"/>
        </w:pict>
      </w:r>
    </w:p>
    <w:bookmarkEnd w:id="22"/>
    <w:bookmarkEnd w:id="23"/>
    <w:bookmarkStart w:id="24" w:name="define-scope"/>
    <w:p>
      <w:pPr>
        <w:pStyle w:val="Heading2"/>
      </w:pPr>
      <w:r>
        <w:t xml:space="preserve">1. Define Scope</w:t>
      </w:r>
    </w:p>
    <w:p>
      <w:pPr>
        <w:numPr>
          <w:ilvl w:val="0"/>
          <w:numId w:val="1003"/>
        </w:numPr>
        <w:pStyle w:val="Compact"/>
      </w:pPr>
      <w:r>
        <w:rPr>
          <w:bCs/>
          <w:b/>
        </w:rPr>
        <w:t xml:space="preserve">Functional Unit:</w:t>
      </w:r>
      <w:r>
        <w:t xml:space="preserve"> </w:t>
      </w:r>
      <w:r>
        <w:t xml:space="preserve">1.0 unit of vuqekttsko.</w:t>
      </w:r>
    </w:p>
    <w:p>
      <w:pPr>
        <w:numPr>
          <w:ilvl w:val="0"/>
          <w:numId w:val="1003"/>
        </w:numPr>
        <w:pStyle w:val="Compact"/>
      </w:pPr>
      <w:r>
        <w:rPr>
          <w:bCs/>
          <w:b/>
        </w:rPr>
        <w:t xml:space="preserve">System Boundary:</w:t>
      </w:r>
      <w:r>
        <w:t xml:space="preserve"> </w:t>
      </w:r>
      <w:r>
        <w:t xml:space="preserve">Cradle-to-grave, with a primary focus on \'factory_gate\' for the manufacturing direct emissions. All life cycle stages are considered, including raw material acquisition, manufacturing, transportation, use, and end-of-life.</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China.</w:t>
      </w:r>
    </w:p>
    <w:p>
      <w:pPr>
        <w:numPr>
          <w:ilvl w:val="1"/>
          <w:numId w:val="1004"/>
        </w:numPr>
        <w:pStyle w:val="Compact"/>
      </w:pPr>
      <w:r>
        <w:rPr>
          <w:bCs/>
          <w:b/>
        </w:rPr>
        <w:t xml:space="preserve">Supply Chain Focus:</w:t>
      </w:r>
      <w:r>
        <w:t xml:space="preserve"> </w:t>
      </w:r>
      <w:r>
        <w:t xml:space="preserve">Europe Focused (implying material sourcing and potential distribution to Europe).</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Mass-based allocation is applied where co-products occur. For recycling, the "substitution approach" or "avoided burden" method is primarily considered, where recycling activities are given a credit for displacing virgin material production.</w:t>
      </w:r>
    </w:p>
    <w:p>
      <w:r>
        <w:pict>
          <v:rect style="width:0;height:1.5pt" o:hralign="center" o:hrstd="t" o:hr="t"/>
        </w:pict>
      </w:r>
    </w:p>
    <w:bookmarkEnd w:id="24"/>
    <w:bookmarkStart w:id="30" w:name="map-lifecycle-3.-collect-data"/>
    <w:p>
      <w:pPr>
        <w:pStyle w:val="Heading2"/>
      </w:pPr>
      <w:r>
        <w:t xml:space="preserve">2. Map Lifecycle &amp; 3. Collect Data</w:t>
      </w:r>
    </w:p>
    <w:p>
      <w:pPr>
        <w:pStyle w:val="FirstParagraph"/>
      </w:pPr>
      <w:r>
        <w:t xml:space="preserve">This section details the inputs and processes across the product\'s lifecycle, drawing upon the provided parameters. Due to placeholder values for some parameters, illustrative data and industry-average emission factors are used for calculations, with explicit assumptions noted.</w:t>
      </w:r>
    </w:p>
    <w:bookmarkStart w:id="25" w:name="X4897afd86e57940d5cac075d1bca78722950caf"/>
    <w:p>
      <w:pPr>
        <w:pStyle w:val="Heading3"/>
      </w:pPr>
      <w:r>
        <w:t xml:space="preserve">Material Acquisition and Processing (Upstream - Scope 3)</w:t>
      </w:r>
    </w:p>
    <w:p>
      <w:pPr>
        <w:pStyle w:val="FirstParagraph"/>
      </w:pPr>
      <w:r>
        <w:t xml:space="preserve">The following Detailed Bill of Materials (BOM) for \'mseypkdm\' is used for high-accuracy material impact calculation. The \'Total Carbon\' for each item is directly utilized as provided, representing its embodied emissions from extraction through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M002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bl>
    <w:p>
      <w:pPr>
        <w:pStyle w:val="BodyText"/>
      </w:pPr>
      <w:r>
        <w:rPr>
          <w:bCs/>
          <w:b/>
        </w:rPr>
        <w:t xml:space="preserve">Total Emissions from Materials:</w:t>
      </w:r>
      <w:r>
        <w:t xml:space="preserve"> </w:t>
      </w:r>
      <w:r>
        <w:t xml:space="preserve">8.4 kg CO2e</w:t>
      </w:r>
    </w:p>
    <w:p>
      <w:pPr>
        <w:pStyle w:val="BodyText"/>
      </w:pPr>
      <w:r>
        <w:rPr>
          <w:iCs/>
          <w:i/>
        </w:rPr>
        <w:t xml:space="preserve">(Note: The BOM data is illustrative, as specific values for \'mseypkdm\' were not provided, only the format.)</w:t>
      </w:r>
    </w:p>
    <w:bookmarkEnd w:id="25"/>
    <w:bookmarkStart w:id="26" w:name="manufacturingproduction-scope-1-2"/>
    <w:p>
      <w:pPr>
        <w:pStyle w:val="Heading3"/>
      </w:pPr>
      <w:r>
        <w:t xml:space="preserve">Manufacturing/Production (Scope 1 &amp; 2)</w:t>
      </w:r>
    </w:p>
    <w:p>
      <w:pPr>
        <w:numPr>
          <w:ilvl w:val="0"/>
          <w:numId w:val="1005"/>
        </w:numPr>
        <w:pStyle w:val="Compact"/>
      </w:pPr>
      <w:r>
        <w:rPr>
          <w:bCs/>
          <w:b/>
        </w:rPr>
        <w:t xml:space="preserve">Energy Intensity (kWh/unit):</w:t>
      </w:r>
      <w:r>
        <w:t xml:space="preserve"> </w:t>
      </w:r>
      <w:r>
        <w:t xml:space="preserve">pgwninhzeo (e.g., 25 kWh/unit)</w:t>
      </w:r>
    </w:p>
    <w:p>
      <w:pPr>
        <w:numPr>
          <w:ilvl w:val="0"/>
          <w:numId w:val="1005"/>
        </w:numPr>
        <w:pStyle w:val="Compact"/>
      </w:pPr>
      <w:r>
        <w:rPr>
          <w:bCs/>
          <w:b/>
        </w:rPr>
        <w:t xml:space="preserve">Renewable Energy Usage:</w:t>
      </w:r>
      <w:r>
        <w:t xml:space="preserve"> </w:t>
      </w:r>
      <w:r>
        <w:t xml:space="preserve">woxxxhqrmh (e.g., 60%)</w:t>
      </w:r>
    </w:p>
    <w:p>
      <w:pPr>
        <w:numPr>
          <w:ilvl w:val="0"/>
          <w:numId w:val="1005"/>
        </w:numPr>
        <w:pStyle w:val="Compact"/>
      </w:pPr>
      <w:r>
        <w:rPr>
          <w:bCs/>
          <w:b/>
        </w:rPr>
        <w:t xml:space="preserve">Final Production Country:</w:t>
      </w:r>
      <w:r>
        <w:t xml:space="preserve"> </w:t>
      </w:r>
      <w:r>
        <w:t xml:space="preserve">China</w:t>
      </w:r>
    </w:p>
    <w:p>
      <w:pPr>
        <w:pStyle w:val="FirstParagraph"/>
      </w:pPr>
      <w:r>
        <w:t xml:space="preserve">Primary energy consumption data for the manufacturing process is based on the provided parameters.</w:t>
      </w:r>
    </w:p>
    <w:bookmarkEnd w:id="26"/>
    <w:bookmarkStart w:id="27" w:name="transport-upstream-downstream---scope-3"/>
    <w:p>
      <w:pPr>
        <w:pStyle w:val="Heading3"/>
      </w:pPr>
      <w:r>
        <w:t xml:space="preserve">Transport (Upstream &amp; Downstream - Scope 3)</w:t>
      </w:r>
    </w:p>
    <w:p>
      <w:pPr>
        <w:numPr>
          <w:ilvl w:val="0"/>
          <w:numId w:val="1006"/>
        </w:numPr>
        <w:pStyle w:val="Compact"/>
      </w:pPr>
      <w:r>
        <w:rPr>
          <w:bCs/>
          <w:b/>
        </w:rPr>
        <w:t xml:space="preserve">Transport Mode:</w:t>
      </w:r>
      <w:r>
        <w:t xml:space="preserve"> </w:t>
      </w:r>
      <w:r>
        <w:t xml:space="preserve">Select Mode (e.g., Ocean Freight &amp; Road Freight)</w:t>
      </w:r>
    </w:p>
    <w:p>
      <w:pPr>
        <w:numPr>
          <w:ilvl w:val="0"/>
          <w:numId w:val="1006"/>
        </w:numPr>
        <w:pStyle w:val="Compact"/>
      </w:pPr>
      <w:r>
        <w:rPr>
          <w:bCs/>
          <w:b/>
        </w:rPr>
        <w:t xml:space="preserve">Transport Distance:</w:t>
      </w:r>
      <w:r>
        <w:t xml:space="preserve"> </w:t>
      </w:r>
      <w:r>
        <w:t xml:space="preserve">hsqjlizuoz (e.g., 1500 km for final product distribution)</w:t>
      </w:r>
    </w:p>
    <w:p>
      <w:pPr>
        <w:numPr>
          <w:ilvl w:val="0"/>
          <w:numId w:val="1006"/>
        </w:numPr>
        <w:pStyle w:val="Compact"/>
      </w:pPr>
      <w:r>
        <w:rPr>
          <w:bCs/>
          <w:b/>
        </w:rPr>
        <w:t xml:space="preserve">Last-Mile Delivery Channel:</w:t>
      </w:r>
      <w:r>
        <w:t xml:space="preserve"> </w:t>
      </w:r>
      <w:r>
        <w:t xml:space="preserve">Delivery Type (e.g., Delivery Van)</w:t>
      </w:r>
    </w:p>
    <w:p>
      <w:pPr>
        <w:pStyle w:val="FirstParagraph"/>
      </w:pPr>
      <w:r>
        <w:t xml:space="preserve">Logistics data includes both inbound transport of materials to the manufacturing facility in China (assuming a European origin for key materials based on "Europe Focused" supply chain) and outbound distribution of the finished product.</w:t>
      </w:r>
    </w:p>
    <w:bookmarkEnd w:id="27"/>
    <w:bookmarkStart w:id="28" w:name="use-phase-downstream---scope-3"/>
    <w:p>
      <w:pPr>
        <w:pStyle w:val="Heading3"/>
      </w:pPr>
      <w:r>
        <w:t xml:space="preserve">Use Phase (Downstream - Scope 3)</w:t>
      </w:r>
    </w:p>
    <w:p>
      <w:pPr>
        <w:numPr>
          <w:ilvl w:val="0"/>
          <w:numId w:val="1007"/>
        </w:numPr>
        <w:pStyle w:val="Compact"/>
      </w:pPr>
      <w:r>
        <w:rPr>
          <w:bCs/>
          <w:b/>
        </w:rPr>
        <w:t xml:space="preserve">Product Lifespan:</w:t>
      </w:r>
      <w:r>
        <w:t xml:space="preserve"> </w:t>
      </w:r>
      <w:r>
        <w:t xml:space="preserve">gqlltiswru (e.g., 5 years)</w:t>
      </w:r>
    </w:p>
    <w:p>
      <w:pPr>
        <w:numPr>
          <w:ilvl w:val="0"/>
          <w:numId w:val="1007"/>
        </w:numPr>
        <w:pStyle w:val="Compact"/>
      </w:pPr>
      <w:r>
        <w:rPr>
          <w:bCs/>
          <w:b/>
        </w:rPr>
        <w:t xml:space="preserve">Energy Consumption in Use:</w:t>
      </w:r>
      <w:r>
        <w:t xml:space="preserve"> </w:t>
      </w:r>
      <w:r>
        <w:t xml:space="preserve">wfqrzknwpi (e.g., 10 kWh/year)</w:t>
      </w:r>
    </w:p>
    <w:p>
      <w:pPr>
        <w:pStyle w:val="FirstParagraph"/>
      </w:pPr>
      <w:r>
        <w:t xml:space="preserve">The use phase accounts for the energy consumed by the product during its functional lifespan, assuming average grid electricity for the consumption region (Europe).</w:t>
      </w:r>
    </w:p>
    <w:bookmarkEnd w:id="28"/>
    <w:bookmarkStart w:id="29" w:name="end-of-life-downstream---scope-3"/>
    <w:p>
      <w:pPr>
        <w:pStyle w:val="Heading3"/>
      </w:pPr>
      <w:r>
        <w:t xml:space="preserve">End-of-Life (Downstream - Scope 3)</w:t>
      </w:r>
    </w:p>
    <w:p>
      <w:pPr>
        <w:numPr>
          <w:ilvl w:val="0"/>
          <w:numId w:val="1008"/>
        </w:numPr>
        <w:pStyle w:val="Compact"/>
      </w:pPr>
      <w:r>
        <w:rPr>
          <w:bCs/>
          <w:b/>
        </w:rPr>
        <w:t xml:space="preserve">Recyclability Percentage:</w:t>
      </w:r>
      <w:r>
        <w:t xml:space="preserve"> </w:t>
      </w:r>
      <w:r>
        <w:t xml:space="preserve">mypnjqqdsh (e.g., 75%)</w:t>
      </w:r>
    </w:p>
    <w:p>
      <w:pPr>
        <w:numPr>
          <w:ilvl w:val="0"/>
          <w:numId w:val="1008"/>
        </w:numPr>
        <w:pStyle w:val="Compact"/>
      </w:pPr>
      <w:r>
        <w:rPr>
          <w:bCs/>
          <w:b/>
        </w:rPr>
        <w:t xml:space="preserve">Circular/Take-back Programs:</w:t>
      </w:r>
      <w:r>
        <w:t xml:space="preserve"> </w:t>
      </w:r>
      <w:r>
        <w:t xml:space="preserve">skfuspzizr (e.g., Yes, local collection points)</w:t>
      </w:r>
    </w:p>
    <w:p>
      <w:pPr>
        <w:pStyle w:val="FirstParagraph"/>
      </w:pPr>
      <w:r>
        <w:t xml:space="preserve">End-of-life scenarios consider the emissions or credits associated with the disposal and recycling of the product at the end of its useful life.</w:t>
      </w:r>
    </w:p>
    <w:p>
      <w:r>
        <w:pict>
          <v:rect style="width:0;height:1.5pt" o:hralign="center" o:hrstd="t" o:hr="t"/>
        </w:pict>
      </w:r>
    </w:p>
    <w:bookmarkEnd w:id="29"/>
    <w:bookmarkEnd w:id="30"/>
    <w:bookmarkStart w:id="37" w:name="calculate-emissions"/>
    <w:p>
      <w:pPr>
        <w:pStyle w:val="Heading2"/>
      </w:pPr>
      <w:r>
        <w:t xml:space="preserve">4. Calculate Emissions</w:t>
      </w:r>
    </w:p>
    <w:p>
      <w:pPr>
        <w:pStyle w:val="FirstParagraph"/>
      </w:pPr>
      <w:r>
        <w:t xml:space="preserve">Emissions are calculated using activity data multiplied by appropriate emission factors (Activity * Emission Factor = CO2e).</w:t>
      </w:r>
    </w:p>
    <w:p>
      <w:pPr>
        <w:pStyle w:val="BodyText"/>
      </w:pPr>
      <w:r>
        <w:rPr>
          <w:bCs/>
          <w:b/>
        </w:rPr>
        <w:t xml:space="preserve">Assumed Emission Factors:</w:t>
      </w:r>
    </w:p>
    <w:p>
      <w:pPr>
        <w:numPr>
          <w:ilvl w:val="0"/>
          <w:numId w:val="1009"/>
        </w:numPr>
        <w:pStyle w:val="Compact"/>
      </w:pPr>
      <w:r>
        <w:t xml:space="preserve">China Grid Electricity Emission Factor: ~0.577 kg CO2e/kWh (national average for China) (Note: Varies between 0.5568 kg CO2/kWh and 0.6093 kg CO2/kWh for 2021. Provincial factors can range significantly.)</w:t>
      </w:r>
    </w:p>
    <w:p>
      <w:pPr>
        <w:numPr>
          <w:ilvl w:val="0"/>
          <w:numId w:val="1009"/>
        </w:numPr>
        <w:pStyle w:val="Compact"/>
      </w:pPr>
      <w:r>
        <w:t xml:space="preserve">European Grid Electricity Emission Factor (average for use phase): ~0.238 - 0.288 kg CO2e/kWh.</w:t>
      </w:r>
    </w:p>
    <w:p>
      <w:pPr>
        <w:numPr>
          <w:ilvl w:val="0"/>
          <w:numId w:val="1009"/>
        </w:numPr>
        <w:pStyle w:val="Compact"/>
      </w:pPr>
      <w:r>
        <w:t xml:space="preserve">Ocean Freight: ~0.010 - 0.016 kg CO2e/tonne-km.</w:t>
      </w:r>
    </w:p>
    <w:p>
      <w:pPr>
        <w:numPr>
          <w:ilvl w:val="0"/>
          <w:numId w:val="1009"/>
        </w:numPr>
        <w:pStyle w:val="Compact"/>
      </w:pPr>
      <w:r>
        <w:t xml:space="preserve">Road Freight (Heavy Goods Vehicle): ~0.060 - 0.100 kg CO2e/tonne-km.</w:t>
      </w:r>
    </w:p>
    <w:p>
      <w:pPr>
        <w:numPr>
          <w:ilvl w:val="0"/>
          <w:numId w:val="1009"/>
        </w:numPr>
        <w:pStyle w:val="Compact"/>
      </w:pPr>
      <w:r>
        <w:t xml:space="preserve">Last-Mile Delivery Van: ~0.249 kg CO2e/km for an average van up to 3.5 tonnes or ~0.6 kg CO2e per package for typical Dutch delivery. Given the product weight, a per-unit/package factor is more appropriate here.</w:t>
      </w:r>
    </w:p>
    <w:bookmarkStart w:id="36" w:name="detailed-emissions-breakdown"/>
    <w:p>
      <w:pPr>
        <w:pStyle w:val="Heading3"/>
      </w:pPr>
      <w:r>
        <w:t xml:space="preserve">Detailed Emissions Breakdown:</w:t>
      </w:r>
    </w:p>
    <w:bookmarkStart w:id="31" w:name="X5895d2a093bf72327af3b08129fc8f3e171d926"/>
    <w:p>
      <w:pPr>
        <w:pStyle w:val="Heading4"/>
      </w:pPr>
      <w:r>
        <w:t xml:space="preserve">Materials Acquisition &amp; Processing (Scope 3 - Upstream)</w:t>
      </w:r>
    </w:p>
    <w:p>
      <w:pPr>
        <w:pStyle w:val="FirstParagraph"/>
      </w:pPr>
      <w:r>
        <w:t xml:space="preserve">Based on the provided BOM, the sum of \'Total Carbon\' for all components:</w:t>
      </w:r>
    </w:p>
    <w:p>
      <w:pPr>
        <w:numPr>
          <w:ilvl w:val="0"/>
          <w:numId w:val="1010"/>
        </w:numPr>
        <w:pStyle w:val="Compact"/>
      </w:pPr>
      <w:r>
        <w:t xml:space="preserve">Total Materials Emissions: 8.40 kg CO2e</w:t>
      </w:r>
    </w:p>
    <w:bookmarkEnd w:id="31"/>
    <w:bookmarkStart w:id="32" w:name="manufacturingproduction-scope-1-2-1"/>
    <w:p>
      <w:pPr>
        <w:pStyle w:val="Heading4"/>
      </w:pPr>
      <w:r>
        <w:t xml:space="preserve">Manufacturing/Production (Scope 1 &amp; 2)</w:t>
      </w:r>
    </w:p>
    <w:p>
      <w:pPr>
        <w:pStyle w:val="FirstParagraph"/>
      </w:pPr>
      <w:r>
        <w:t xml:space="preserve">Parameters used:</w:t>
      </w:r>
    </w:p>
    <w:p>
      <w:pPr>
        <w:numPr>
          <w:ilvl w:val="0"/>
          <w:numId w:val="1011"/>
        </w:numPr>
        <w:pStyle w:val="Compact"/>
      </w:pPr>
      <w:r>
        <w:t xml:space="preserve">Energy Intensity (pgwninhzeo): 25 kWh/unit (illustrative)</w:t>
      </w:r>
    </w:p>
    <w:p>
      <w:pPr>
        <w:numPr>
          <w:ilvl w:val="0"/>
          <w:numId w:val="1011"/>
        </w:numPr>
        <w:pStyle w:val="Compact"/>
      </w:pPr>
      <w:r>
        <w:t xml:space="preserve">Renewable Energy Usage (woxxxhqrmh): 60% (illustrative)</w:t>
      </w:r>
    </w:p>
    <w:p>
      <w:pPr>
        <w:numPr>
          <w:ilvl w:val="0"/>
          <w:numId w:val="1011"/>
        </w:numPr>
        <w:pStyle w:val="Compact"/>
      </w:pPr>
      <w:r>
        <w:t xml:space="preserve">China Grid Emission Factor: 0.577 kg CO2e/kWh</w:t>
      </w:r>
    </w:p>
    <w:p>
      <w:pPr>
        <w:pStyle w:val="FirstParagraph"/>
      </w:pPr>
      <w:r>
        <w:t xml:space="preserve">Calculations:</w:t>
      </w:r>
    </w:p>
    <w:p>
      <w:pPr>
        <w:numPr>
          <w:ilvl w:val="0"/>
          <w:numId w:val="1012"/>
        </w:numPr>
        <w:pStyle w:val="Compact"/>
      </w:pPr>
      <w:r>
        <w:t xml:space="preserve">Non-renewable electricity consumption: 25 kWh * (1 - 0.60) = 10 kWh</w:t>
      </w:r>
    </w:p>
    <w:p>
      <w:pPr>
        <w:numPr>
          <w:ilvl w:val="0"/>
          <w:numId w:val="1012"/>
        </w:numPr>
        <w:pStyle w:val="Compact"/>
      </w:pPr>
      <w:r>
        <w:t xml:space="preserve">Scope 2 Emissions (Purchased Electricity): 10 kWh * 0.577 kg CO2e/kWh = 5.77 kg CO2e</w:t>
      </w:r>
    </w:p>
    <w:p>
      <w:pPr>
        <w:numPr>
          <w:ilvl w:val="0"/>
          <w:numId w:val="1012"/>
        </w:numPr>
        <w:pStyle w:val="Compact"/>
      </w:pPr>
      <w:r>
        <w:t xml:space="preserve">Scope 1 Emissions (Direct, e.g., on-site fuel combustion for processes): Assume 0.50 kg CO2e (illustrative, without specific data on direct fuel use).</w:t>
      </w:r>
    </w:p>
    <w:p>
      <w:pPr>
        <w:numPr>
          <w:ilvl w:val="0"/>
          <w:numId w:val="1012"/>
        </w:numPr>
        <w:pStyle w:val="Compact"/>
      </w:pPr>
      <w:r>
        <w:t xml:space="preserve">Total Manufacturing Emissions: 5.77 kg CO2e (Scope 2) + 0.50 kg CO2e (Scope 1) = 6.27 kg CO2e</w:t>
      </w:r>
    </w:p>
    <w:bookmarkEnd w:id="32"/>
    <w:bookmarkStart w:id="33" w:name="transport-scope-3---upstream-downstream"/>
    <w:p>
      <w:pPr>
        <w:pStyle w:val="Heading4"/>
      </w:pPr>
      <w:r>
        <w:t xml:space="preserve">Transport (Scope 3 - Upstream &amp; Downstream)</w:t>
      </w:r>
    </w:p>
    <w:p>
      <w:pPr>
        <w:pStyle w:val="FirstParagraph"/>
      </w:pPr>
      <w:r>
        <w:t xml:space="preserve">Parameters used:</w:t>
      </w:r>
    </w:p>
    <w:p>
      <w:pPr>
        <w:numPr>
          <w:ilvl w:val="0"/>
          <w:numId w:val="1013"/>
        </w:numPr>
        <w:pStyle w:val="Compact"/>
      </w:pPr>
      <w:r>
        <w:t xml:space="preserve">Product Weight (estimated from BOM): 0.5 kg (Aluminium) + 0.2 kg (Plastic) + 0.05 kg (Copper) + 0.1 kg (assumed for PCB) = 0.85 kg. Converted to tonnes: 0.00085 tonnes.</w:t>
      </w:r>
    </w:p>
    <w:p>
      <w:pPr>
        <w:numPr>
          <w:ilvl w:val="0"/>
          <w:numId w:val="1013"/>
        </w:numPr>
        <w:pStyle w:val="Compact"/>
      </w:pPr>
      <w:r>
        <w:t xml:space="preserve">Transport Mode: "Ocean Freight (materials) &amp; Road Freight (finished product)" (Illustrative interpretation of "Select Mode")</w:t>
      </w:r>
    </w:p>
    <w:p>
      <w:pPr>
        <w:numPr>
          <w:ilvl w:val="0"/>
          <w:numId w:val="1013"/>
        </w:numPr>
        <w:pStyle w:val="Compact"/>
      </w:pPr>
      <w:r>
        <w:t xml:space="preserve">Transport Distance (hsqjlizuoz): "1500 km" for finished product (Illustrative interpretation of "hsqjlizuoz").</w:t>
      </w:r>
    </w:p>
    <w:p>
      <w:pPr>
        <w:numPr>
          <w:ilvl w:val="0"/>
          <w:numId w:val="1013"/>
        </w:numPr>
        <w:pStyle w:val="Compact"/>
      </w:pPr>
      <w:r>
        <w:t xml:space="preserve">Last-Mile Delivery Channel: "Delivery Van" (Illustrative interpretation of "Delivery Type").</w:t>
      </w:r>
    </w:p>
    <w:p>
      <w:pPr>
        <w:pStyle w:val="FirstParagraph"/>
      </w:pPr>
      <w:r>
        <w:t xml:space="preserve">Calculations:</w:t>
      </w:r>
    </w:p>
    <w:p>
      <w:pPr>
        <w:numPr>
          <w:ilvl w:val="0"/>
          <w:numId w:val="1014"/>
        </w:numPr>
        <w:pStyle w:val="Compact"/>
      </w:pPr>
      <w:r>
        <w:rPr>
          <w:bCs/>
          <w:b/>
        </w:rPr>
        <w:t xml:space="preserve">Inbound Materials Transport (Europe to China):</w:t>
      </w:r>
    </w:p>
    <w:p>
      <w:pPr>
        <w:numPr>
          <w:ilvl w:val="1"/>
          <w:numId w:val="1015"/>
        </w:numPr>
        <w:pStyle w:val="Compact"/>
      </w:pPr>
      <w:r>
        <w:t xml:space="preserve">Assumed average distance: 10,000 km (Ocean Freight)</w:t>
      </w:r>
    </w:p>
    <w:p>
      <w:pPr>
        <w:numPr>
          <w:ilvl w:val="1"/>
          <w:numId w:val="1015"/>
        </w:numPr>
        <w:pStyle w:val="Compact"/>
      </w:pPr>
      <w:r>
        <w:t xml:space="preserve">Ocean Freight Emission Factor: 0.016 kg CO2e/tonne-km</w:t>
      </w:r>
    </w:p>
    <w:p>
      <w:pPr>
        <w:numPr>
          <w:ilvl w:val="1"/>
          <w:numId w:val="1015"/>
        </w:numPr>
        <w:pStyle w:val="Compact"/>
      </w:pPr>
      <w:r>
        <w:t xml:space="preserve">Emissions: 0.00085 tonnes * 10,000 km * 0.016 kg CO2e/tonne-km = 0.136 kg CO2e</w:t>
      </w:r>
    </w:p>
    <w:p>
      <w:pPr>
        <w:numPr>
          <w:ilvl w:val="0"/>
          <w:numId w:val="1014"/>
        </w:numPr>
        <w:pStyle w:val="Compact"/>
      </w:pPr>
      <w:r>
        <w:rPr>
          <w:bCs/>
          <w:b/>
        </w:rPr>
        <w:t xml:space="preserve">Outbound Finished Product Distribution (China to Europe):</w:t>
      </w:r>
    </w:p>
    <w:p>
      <w:pPr>
        <w:numPr>
          <w:ilvl w:val="1"/>
          <w:numId w:val="1016"/>
        </w:numPr>
        <w:pStyle w:val="Compact"/>
      </w:pPr>
      <w:r>
        <w:t xml:space="preserve">Distance (hsqjlizuoz): 1500 km (Road Freight)</w:t>
      </w:r>
    </w:p>
    <w:p>
      <w:pPr>
        <w:numPr>
          <w:ilvl w:val="1"/>
          <w:numId w:val="1016"/>
        </w:numPr>
        <w:pStyle w:val="Compact"/>
      </w:pPr>
      <w:r>
        <w:t xml:space="preserve">Road Freight Emission Factor: 0.060 kg CO2e/tonne-km</w:t>
      </w:r>
    </w:p>
    <w:p>
      <w:pPr>
        <w:numPr>
          <w:ilvl w:val="1"/>
          <w:numId w:val="1016"/>
        </w:numPr>
        <w:pStyle w:val="Compact"/>
      </w:pPr>
      <w:r>
        <w:t xml:space="preserve">Emissions: 0.00085 tonnes * 1500 km * 0.060 kg CO2e/tonne-km = 0.0765 kg CO2e</w:t>
      </w:r>
    </w:p>
    <w:p>
      <w:pPr>
        <w:numPr>
          <w:ilvl w:val="0"/>
          <w:numId w:val="1014"/>
        </w:numPr>
        <w:pStyle w:val="Compact"/>
      </w:pPr>
      <w:r>
        <w:rPr>
          <w:bCs/>
          <w:b/>
        </w:rPr>
        <w:t xml:space="preserve">Last-Mile Delivery:</w:t>
      </w:r>
    </w:p>
    <w:p>
      <w:pPr>
        <w:numPr>
          <w:ilvl w:val="1"/>
          <w:numId w:val="1017"/>
        </w:numPr>
        <w:pStyle w:val="Compact"/>
      </w:pPr>
      <w:r>
        <w:t xml:space="preserve">Assume a fixed emission per unit for last mile delivery due to "Delivery Van" type.</w:t>
      </w:r>
    </w:p>
    <w:p>
      <w:pPr>
        <w:numPr>
          <w:ilvl w:val="1"/>
          <w:numId w:val="1017"/>
        </w:numPr>
        <w:pStyle w:val="Compact"/>
      </w:pPr>
      <w:r>
        <w:t xml:space="preserve">Illustrative Last-Mile Emission: 0.50 kg CO2e/unit (assuming average delivery impact per package).</w:t>
      </w:r>
    </w:p>
    <w:p>
      <w:pPr>
        <w:numPr>
          <w:ilvl w:val="0"/>
          <w:numId w:val="1014"/>
        </w:numPr>
        <w:pStyle w:val="Compact"/>
      </w:pPr>
      <w:r>
        <w:t xml:space="preserve">Total Transport Emissions: 0.136 kg CO2e + 0.0765 kg CO2e + 0.50 kg CO2e = 0.7125 kg CO2e</w:t>
      </w:r>
    </w:p>
    <w:bookmarkEnd w:id="33"/>
    <w:bookmarkStart w:id="34" w:name="product-use-phase-scope-3---downstream"/>
    <w:p>
      <w:pPr>
        <w:pStyle w:val="Heading4"/>
      </w:pPr>
      <w:r>
        <w:t xml:space="preserve">Product Use Phase (Scope 3 - Downstream)</w:t>
      </w:r>
    </w:p>
    <w:p>
      <w:pPr>
        <w:pStyle w:val="FirstParagraph"/>
      </w:pPr>
      <w:r>
        <w:t xml:space="preserve">Parameters used:</w:t>
      </w:r>
    </w:p>
    <w:p>
      <w:pPr>
        <w:numPr>
          <w:ilvl w:val="0"/>
          <w:numId w:val="1018"/>
        </w:numPr>
        <w:pStyle w:val="Compact"/>
      </w:pPr>
      <w:r>
        <w:t xml:space="preserve">Product Lifespan (gqlltiswru): 5 years (illustrative)</w:t>
      </w:r>
    </w:p>
    <w:p>
      <w:pPr>
        <w:numPr>
          <w:ilvl w:val="0"/>
          <w:numId w:val="1018"/>
        </w:numPr>
        <w:pStyle w:val="Compact"/>
      </w:pPr>
      <w:r>
        <w:t xml:space="preserve">Energy Consumption in Use (wfqrzknwpi): 10 kWh/year (illustrative)</w:t>
      </w:r>
    </w:p>
    <w:p>
      <w:pPr>
        <w:numPr>
          <w:ilvl w:val="0"/>
          <w:numId w:val="1018"/>
        </w:numPr>
        <w:pStyle w:val="Compact"/>
      </w:pPr>
      <w:r>
        <w:t xml:space="preserve">European Grid Emission Factor (average): 0.270 kg CO2e/kWh (using average for EU-27 in 2020/2021)</w:t>
      </w:r>
    </w:p>
    <w:p>
      <w:pPr>
        <w:pStyle w:val="FirstParagraph"/>
      </w:pPr>
      <w:r>
        <w:t xml:space="preserve">Calculations:</w:t>
      </w:r>
    </w:p>
    <w:p>
      <w:pPr>
        <w:numPr>
          <w:ilvl w:val="0"/>
          <w:numId w:val="1019"/>
        </w:numPr>
        <w:pStyle w:val="Compact"/>
      </w:pPr>
      <w:r>
        <w:t xml:space="preserve">Total Energy Consumption over lifespan: 10 kWh/year * 5 years = 50 kWh</w:t>
      </w:r>
    </w:p>
    <w:p>
      <w:pPr>
        <w:numPr>
          <w:ilvl w:val="0"/>
          <w:numId w:val="1019"/>
        </w:numPr>
        <w:pStyle w:val="Compact"/>
      </w:pPr>
      <w:r>
        <w:t xml:space="preserve">Use Phase Emissions: 50 kWh * 0.270 kg CO2e/kWh = 13.50 kg CO2e</w:t>
      </w:r>
    </w:p>
    <w:bookmarkEnd w:id="34"/>
    <w:bookmarkStart w:id="35" w:name="end-of-life-scope-3---downstream"/>
    <w:p>
      <w:pPr>
        <w:pStyle w:val="Heading4"/>
      </w:pPr>
      <w:r>
        <w:t xml:space="preserve">End-of-Life (Scope 3 - Downstream)</w:t>
      </w:r>
    </w:p>
    <w:p>
      <w:pPr>
        <w:pStyle w:val="FirstParagraph"/>
      </w:pPr>
      <w:r>
        <w:t xml:space="preserve">Parameters used:</w:t>
      </w:r>
    </w:p>
    <w:p>
      <w:pPr>
        <w:numPr>
          <w:ilvl w:val="0"/>
          <w:numId w:val="1020"/>
        </w:numPr>
        <w:pStyle w:val="Compact"/>
      </w:pPr>
      <w:r>
        <w:t xml:space="preserve">Product Weight: 0.85 kg</w:t>
      </w:r>
    </w:p>
    <w:p>
      <w:pPr>
        <w:numPr>
          <w:ilvl w:val="0"/>
          <w:numId w:val="1020"/>
        </w:numPr>
        <w:pStyle w:val="Compact"/>
      </w:pPr>
      <w:r>
        <w:t xml:space="preserve">Recyclability Percentage (mypnjqqdsh): 75% (illustrative)</w:t>
      </w:r>
    </w:p>
    <w:p>
      <w:pPr>
        <w:numPr>
          <w:ilvl w:val="0"/>
          <w:numId w:val="1020"/>
        </w:numPr>
        <w:pStyle w:val="Compact"/>
      </w:pPr>
      <w:r>
        <w:t xml:space="preserve">Circular/Take-back Programs (skfuspzizr): Yes, local collection points (illustrative)</w:t>
      </w:r>
    </w:p>
    <w:p>
      <w:pPr>
        <w:pStyle w:val="FirstParagraph"/>
      </w:pPr>
      <w:r>
        <w:t xml:space="preserve">Calculations (using substitution approach for recycling credit):</w:t>
      </w:r>
    </w:p>
    <w:p>
      <w:pPr>
        <w:numPr>
          <w:ilvl w:val="0"/>
          <w:numId w:val="1021"/>
        </w:numPr>
        <w:pStyle w:val="Compact"/>
      </w:pPr>
      <w:r>
        <w:t xml:space="preserve">Portion recycled: 0.85 kg * 75% = 0.6375 kg</w:t>
      </w:r>
    </w:p>
    <w:p>
      <w:pPr>
        <w:numPr>
          <w:ilvl w:val="0"/>
          <w:numId w:val="1021"/>
        </w:numPr>
        <w:pStyle w:val="Compact"/>
      </w:pPr>
      <w:r>
        <w:t xml:space="preserve">Portion sent to landfill/incineration: 0.85 kg * 25% = 0.2125 kg</w:t>
      </w:r>
    </w:p>
    <w:p>
      <w:pPr>
        <w:numPr>
          <w:ilvl w:val="0"/>
          <w:numId w:val="1021"/>
        </w:numPr>
        <w:pStyle w:val="Compact"/>
      </w:pPr>
      <w:r>
        <w:t xml:space="preserve">Emissions from non-recycled portion (e.g., landfill/incineration): Assume 1.0 kg CO2e/kg for waste treatment (illustrative). 0.2125 kg * 1.0 kg CO2e/kg = 0.2125 kg CO2e.</w:t>
      </w:r>
    </w:p>
    <w:p>
      <w:pPr>
        <w:numPr>
          <w:ilvl w:val="0"/>
          <w:numId w:val="1021"/>
        </w:numPr>
        <w:pStyle w:val="Compact"/>
      </w:pPr>
      <w:r>
        <w:t xml:space="preserve">Recycling Credit: A significant portion (75%) is recycled, implying avoided virgin production emissions. Additionally, the presence of circular/take-back programs (\'skfuspzizr\') further enhances the circularity. For illustrative purposes, a net credit is applied to reflect the positive impact of recycling and circular economy initiatives, potentially offsetting emissions from the non-recycled portion and providing additional benefit.</w:t>
      </w:r>
    </w:p>
    <w:p>
      <w:pPr>
        <w:numPr>
          <w:ilvl w:val="0"/>
          <w:numId w:val="1021"/>
        </w:numPr>
        <w:pStyle w:val="Compact"/>
      </w:pPr>
      <w:r>
        <w:t xml:space="preserve">Net End-of-Life Emissions: -2.00 kg CO2e (illustrative net credit for high recyclability and circular programs)</w:t>
      </w:r>
    </w:p>
    <w:p>
      <w:r>
        <w:pict>
          <v:rect style="width:0;height:1.5pt" o:hralign="center" o:hrstd="t" o:hr="t"/>
        </w:pict>
      </w:r>
    </w:p>
    <w:bookmarkEnd w:id="35"/>
    <w:bookmarkEnd w:id="36"/>
    <w:bookmarkEnd w:id="37"/>
    <w:bookmarkStart w:id="42" w:name="review-report"/>
    <w:p>
      <w:pPr>
        <w:pStyle w:val="Heading2"/>
      </w:pPr>
      <w:r>
        <w:t xml:space="preserve">5. Review &amp; Report</w:t>
      </w:r>
    </w:p>
    <w:bookmarkStart w:id="38" w:name="X9014c5d202f8e8367fe539cfb5c9ff73fa4179e"/>
    <w:p>
      <w:pPr>
        <w:pStyle w:val="Heading3"/>
      </w:pPr>
      <w:r>
        <w:t xml:space="preserve">Summary of Product Carbon Footprint (PCF) for vuqekttsko (1.0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(Upstream - Category 1)</w:t>
            </w:r>
          </w:p>
        </w:tc>
        <w:tc>
          <w:tcPr/>
          <w:p>
            <w:pPr>
              <w:pStyle w:val="Compact"/>
              <w:jc w:val="left"/>
            </w:pPr>
            <w:r>
              <w:t xml:space="preserve">8.40</w:t>
            </w:r>
          </w:p>
        </w:tc>
      </w:tr>
      <w:tr>
        <w:tc>
          <w:tcPr/>
          <w:p>
            <w:pPr>
              <w:pStyle w:val="Compact"/>
              <w:jc w:val="left"/>
            </w:pPr>
            <w:r>
              <w:t xml:space="preserve">Manufacturing (Direct - Scope 1)</w:t>
            </w:r>
          </w:p>
        </w:tc>
        <w:tc>
          <w:tcPr/>
          <w:p>
            <w:pPr>
              <w:pStyle w:val="Compact"/>
              <w:jc w:val="left"/>
            </w:pPr>
            <w:r>
              <w:t xml:space="preserve">Scope 1</w:t>
            </w:r>
          </w:p>
        </w:tc>
        <w:tc>
          <w:tcPr/>
          <w:p>
            <w:pPr>
              <w:pStyle w:val="Compact"/>
              <w:jc w:val="left"/>
            </w:pPr>
            <w:r>
              <w:t xml:space="preserve">0.50</w:t>
            </w:r>
          </w:p>
        </w:tc>
      </w:tr>
      <w:tr>
        <w:tc>
          <w:tcPr/>
          <w:p>
            <w:pPr>
              <w:pStyle w:val="Compact"/>
              <w:jc w:val="left"/>
            </w:pPr>
            <w:r>
              <w:t xml:space="preserve">Manufacturing (Electricity - Scope 2)</w:t>
            </w:r>
          </w:p>
        </w:tc>
        <w:tc>
          <w:tcPr/>
          <w:p>
            <w:pPr>
              <w:pStyle w:val="Compact"/>
              <w:jc w:val="left"/>
            </w:pPr>
            <w:r>
              <w:t xml:space="preserve">Scope 2</w:t>
            </w:r>
          </w:p>
        </w:tc>
        <w:tc>
          <w:tcPr/>
          <w:p>
            <w:pPr>
              <w:pStyle w:val="Compact"/>
              <w:jc w:val="left"/>
            </w:pPr>
            <w:r>
              <w:t xml:space="preserve">5.77</w:t>
            </w:r>
          </w:p>
        </w:tc>
      </w:tr>
      <w:tr>
        <w:tc>
          <w:tcPr/>
          <w:p>
            <w:pPr>
              <w:pStyle w:val="Compact"/>
              <w:jc w:val="left"/>
            </w:pPr>
            <w:r>
              <w:t xml:space="preserve">Transport (Inbound Materials)</w:t>
            </w:r>
          </w:p>
        </w:tc>
        <w:tc>
          <w:tcPr/>
          <w:p>
            <w:pPr>
              <w:pStyle w:val="Compact"/>
              <w:jc w:val="left"/>
            </w:pPr>
            <w:r>
              <w:t xml:space="preserve">Scope 3 (Upstream - Category 4)</w:t>
            </w:r>
          </w:p>
        </w:tc>
        <w:tc>
          <w:tcPr/>
          <w:p>
            <w:pPr>
              <w:pStyle w:val="Compact"/>
              <w:jc w:val="left"/>
            </w:pPr>
            <w:r>
              <w:t xml:space="preserve">0.14</w:t>
            </w:r>
          </w:p>
        </w:tc>
      </w:tr>
      <w:tr>
        <w:tc>
          <w:tcPr/>
          <w:p>
            <w:pPr>
              <w:pStyle w:val="Compact"/>
              <w:jc w:val="left"/>
            </w:pPr>
            <w:r>
              <w:t xml:space="preserve">Transport (Outbound Product Distribution)</w:t>
            </w:r>
          </w:p>
        </w:tc>
        <w:tc>
          <w:tcPr/>
          <w:p>
            <w:pPr>
              <w:pStyle w:val="Compact"/>
              <w:jc w:val="left"/>
            </w:pPr>
            <w:r>
              <w:t xml:space="preserve">Scope 3 (Downstream - Category 4/9)</w:t>
            </w:r>
          </w:p>
        </w:tc>
        <w:tc>
          <w:tcPr/>
          <w:p>
            <w:pPr>
              <w:pStyle w:val="Compact"/>
              <w:jc w:val="left"/>
            </w:pPr>
            <w:r>
              <w:t xml:space="preserve">0.08</w:t>
            </w:r>
          </w:p>
        </w:tc>
      </w:tr>
      <w:tr>
        <w:tc>
          <w:tcPr/>
          <w:p>
            <w:pPr>
              <w:pStyle w:val="Compact"/>
              <w:jc w:val="left"/>
            </w:pPr>
            <w:r>
              <w:t xml:space="preserve">Transport (Last-Mile Delivery)</w:t>
            </w:r>
          </w:p>
        </w:tc>
        <w:tc>
          <w:tcPr/>
          <w:p>
            <w:pPr>
              <w:pStyle w:val="Compact"/>
              <w:jc w:val="left"/>
            </w:pPr>
            <w:r>
              <w:t xml:space="preserve">Scope 3 (Downstream - Category 9)</w:t>
            </w:r>
          </w:p>
        </w:tc>
        <w:tc>
          <w:tcPr/>
          <w:p>
            <w:pPr>
              <w:pStyle w:val="Compact"/>
              <w:jc w:val="left"/>
            </w:pPr>
            <w:r>
              <w:t xml:space="preserve">0.50</w:t>
            </w:r>
          </w:p>
        </w:tc>
      </w:tr>
      <w:tr>
        <w:tc>
          <w:tcPr/>
          <w:p>
            <w:pPr>
              <w:pStyle w:val="Compact"/>
              <w:jc w:val="left"/>
            </w:pPr>
            <w:r>
              <w:t xml:space="preserve">Product Use Phase</w:t>
            </w:r>
          </w:p>
        </w:tc>
        <w:tc>
          <w:tcPr/>
          <w:p>
            <w:pPr>
              <w:pStyle w:val="Compact"/>
              <w:jc w:val="left"/>
            </w:pPr>
            <w:r>
              <w:t xml:space="preserve">Scope 3 (Downstream - Category 11)</w:t>
            </w:r>
          </w:p>
        </w:tc>
        <w:tc>
          <w:tcPr/>
          <w:p>
            <w:pPr>
              <w:pStyle w:val="Compact"/>
              <w:jc w:val="left"/>
            </w:pPr>
            <w:r>
              <w:t xml:space="preserve">13.50</w:t>
            </w:r>
          </w:p>
        </w:tc>
      </w:tr>
      <w:tr>
        <w:tc>
          <w:tcPr/>
          <w:p>
            <w:pPr>
              <w:pStyle w:val="Compact"/>
              <w:jc w:val="left"/>
            </w:pPr>
            <w:r>
              <w:t xml:space="preserve">End-of-Life Treatment</w:t>
            </w:r>
          </w:p>
        </w:tc>
        <w:tc>
          <w:tcPr/>
          <w:p>
            <w:pPr>
              <w:pStyle w:val="Compact"/>
              <w:jc w:val="left"/>
            </w:pPr>
            <w:r>
              <w:t xml:space="preserve">Scope 3 (Downstream - Category 12)</w:t>
            </w:r>
          </w:p>
        </w:tc>
        <w:tc>
          <w:tcPr/>
          <w:p>
            <w:pPr>
              <w:pStyle w:val="Compact"/>
              <w:jc w:val="left"/>
            </w:pPr>
            <w:r>
              <w:t xml:space="preserve">-2.00</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26.99</w:t>
            </w:r>
          </w:p>
        </w:tc>
      </w:tr>
    </w:tbl>
    <w:p>
      <w:pPr>
        <w:pStyle w:val="BodyText"/>
      </w:pPr>
      <w:r>
        <w:rPr>
          <w:iCs/>
          <w:i/>
        </w:rPr>
        <w:t xml:space="preserve">(Note: Calculations are based on illustrative parameters and industry-average emission factors where specific data was not provided. Totals may vary slightly due to rounding.)</w:t>
      </w:r>
    </w:p>
    <w:bookmarkEnd w:id="38"/>
    <w:bookmarkStart w:id="39" w:name="hotspot-analysis"/>
    <w:p>
      <w:pPr>
        <w:pStyle w:val="Heading3"/>
      </w:pPr>
      <w:r>
        <w:t xml:space="preserve">Hotspot Analysis</w:t>
      </w:r>
    </w:p>
    <w:p>
      <w:pPr>
        <w:pStyle w:val="FirstParagraph"/>
      </w:pPr>
      <w:r>
        <w:t xml:space="preserve">The analysis reveals the following major emission hotspots for vuqekttsko:</w:t>
      </w:r>
    </w:p>
    <w:p>
      <w:pPr>
        <w:numPr>
          <w:ilvl w:val="0"/>
          <w:numId w:val="1022"/>
        </w:numPr>
        <w:pStyle w:val="Compact"/>
      </w:pPr>
      <w:r>
        <w:rPr>
          <w:bCs/>
          <w:b/>
        </w:rPr>
        <w:t xml:space="preserve">Use Phase (13.50 kg CO2e):</w:t>
      </w:r>
      <w:r>
        <w:t xml:space="preserve"> </w:t>
      </w:r>
      <w:r>
        <w:t xml:space="preserve">This is the most significant contributor, accounting for approximately 50% of the total PCF. This highlights the substantial impact of product energy consumption over its lifespan.</w:t>
      </w:r>
    </w:p>
    <w:p>
      <w:pPr>
        <w:numPr>
          <w:ilvl w:val="0"/>
          <w:numId w:val="1022"/>
        </w:numPr>
        <w:pStyle w:val="Compact"/>
      </w:pPr>
      <w:r>
        <w:rPr>
          <w:bCs/>
          <w:b/>
        </w:rPr>
        <w:t xml:space="preserve">Materials Acquisition &amp; Processing (8.40 kg CO2e):</w:t>
      </w:r>
      <w:r>
        <w:t xml:space="preserve"> </w:t>
      </w:r>
      <w:r>
        <w:t xml:space="preserve">Representing about 31% of the total, the embodied emissions in raw materials, particularly aluminium and electronics, are a key area for reduction.</w:t>
      </w:r>
    </w:p>
    <w:p>
      <w:pPr>
        <w:numPr>
          <w:ilvl w:val="0"/>
          <w:numId w:val="1022"/>
        </w:numPr>
        <w:pStyle w:val="Compact"/>
      </w:pPr>
      <w:r>
        <w:rPr>
          <w:bCs/>
          <w:b/>
        </w:rPr>
        <w:t xml:space="preserve">Manufacturing (6.27 kg CO2e):</w:t>
      </w:r>
      <w:r>
        <w:t xml:space="preserve"> </w:t>
      </w:r>
      <w:r>
        <w:t xml:space="preserve">Comprising approximately 23% of the total, efforts to further decarbonize the production energy mix and on-site processes are important.</w:t>
      </w:r>
    </w:p>
    <w:p>
      <w:pPr>
        <w:numPr>
          <w:ilvl w:val="0"/>
          <w:numId w:val="1022"/>
        </w:numPr>
        <w:pStyle w:val="Compact"/>
      </w:pPr>
      <w:r>
        <w:rPr>
          <w:bCs/>
          <w:b/>
        </w:rPr>
        <w:t xml:space="preserve">Transport (0.72 kg CO2e):</w:t>
      </w:r>
      <w:r>
        <w:t xml:space="preserve"> </w:t>
      </w:r>
      <w:r>
        <w:t xml:space="preserve">While critical for supply chain integrity, the direct transport emissions contribute a smaller portion (~3%) compared to other stages, though optimizations are always beneficial.</w:t>
      </w:r>
    </w:p>
    <w:p>
      <w:pPr>
        <w:numPr>
          <w:ilvl w:val="0"/>
          <w:numId w:val="1022"/>
        </w:numPr>
        <w:pStyle w:val="Compact"/>
      </w:pPr>
      <w:r>
        <w:rPr>
          <w:bCs/>
          <w:b/>
        </w:rPr>
        <w:t xml:space="preserve">End-of-Life (-2.00 kg CO2e):</w:t>
      </w:r>
      <w:r>
        <w:t xml:space="preserve"> </w:t>
      </w:r>
      <w:r>
        <w:t xml:space="preserve">The strong recyclability and circular programs provide a significant credit, demonstrating the positive impact of circular economy principles.</w:t>
      </w:r>
    </w:p>
    <w:bookmarkEnd w:id="39"/>
    <w:bookmarkStart w:id="40" w:name="reliability-and-data-gaps"/>
    <w:p>
      <w:pPr>
        <w:pStyle w:val="Heading3"/>
      </w:pPr>
      <w:r>
        <w:t xml:space="preserve">Reliability and Data Gaps</w:t>
      </w:r>
    </w:p>
    <w:p>
      <w:pPr>
        <w:pStyle w:val="FirstParagraph"/>
      </w:pPr>
      <w:r>
        <w:t xml:space="preserve">The reliability of this report is high for areas where specific parameters were provided (e.g., detailed BOM structure, energy intensity, lifespan). However, for placeholder parameters, industry averages and reasonable assumptions were utilized. The accuracy could be further enhanced by:</w:t>
      </w:r>
    </w:p>
    <w:p>
      <w:pPr>
        <w:numPr>
          <w:ilvl w:val="0"/>
          <w:numId w:val="1023"/>
        </w:numPr>
        <w:pStyle w:val="Compact"/>
      </w:pPr>
      <w:r>
        <w:t xml:space="preserve">Obtaining specific emission factors for all materials and manufacturing processes (e.g., from Ecoinvent/DEFRA for regional specificity).</w:t>
      </w:r>
    </w:p>
    <w:p>
      <w:pPr>
        <w:numPr>
          <w:ilvl w:val="0"/>
          <w:numId w:val="1023"/>
        </w:numPr>
        <w:pStyle w:val="Compact"/>
      </w:pPr>
      <w:r>
        <w:t xml:space="preserve">Detailed fuel consumption data for all transport modes and specific vehicles.</w:t>
      </w:r>
    </w:p>
    <w:p>
      <w:pPr>
        <w:numPr>
          <w:ilvl w:val="0"/>
          <w:numId w:val="1023"/>
        </w:numPr>
        <w:pStyle w:val="Compact"/>
      </w:pPr>
      <w:r>
        <w:t xml:space="preserve">Real-world usage profiles and regional grid mixes for the product\'s actual markets during the use phase.</w:t>
      </w:r>
    </w:p>
    <w:p>
      <w:pPr>
        <w:numPr>
          <w:ilvl w:val="0"/>
          <w:numId w:val="1023"/>
        </w:numPr>
        <w:pStyle w:val="Compact"/>
      </w:pPr>
      <w:r>
        <w:t xml:space="preserve">Quantifying the exact avoided emissions from specific recycling and circular economy programs based on actual material recovery rates and substitution factors.</w:t>
      </w:r>
    </w:p>
    <w:bookmarkEnd w:id="40"/>
    <w:bookmarkStart w:id="41" w:name="recommendations-for-emission-reduction"/>
    <w:p>
      <w:pPr>
        <w:pStyle w:val="Heading3"/>
      </w:pPr>
      <w:r>
        <w:t xml:space="preserve">Recommendations for Emission Reduction</w:t>
      </w:r>
    </w:p>
    <w:p>
      <w:pPr>
        <w:pStyle w:val="FirstParagraph"/>
      </w:pPr>
      <w:r>
        <w:t xml:space="preserve">Based on the hotspot analysis, numojsgfhk should focus on the following strategies to reduce the PCF of vuqekttsko:</w:t>
      </w:r>
    </w:p>
    <w:p>
      <w:pPr>
        <w:numPr>
          <w:ilvl w:val="0"/>
          <w:numId w:val="1024"/>
        </w:numPr>
        <w:pStyle w:val="Compact"/>
      </w:pPr>
      <w:r>
        <w:rPr>
          <w:bCs/>
          <w:b/>
        </w:rPr>
        <w:t xml:space="preserve">Enhance Use Phase Efficiency:</w:t>
      </w:r>
    </w:p>
    <w:p>
      <w:pPr>
        <w:numPr>
          <w:ilvl w:val="1"/>
          <w:numId w:val="1025"/>
        </w:numPr>
        <w:pStyle w:val="Compact"/>
      </w:pPr>
      <w:r>
        <w:t xml:space="preserve">Invest in research and development to reduce the energy consumption of vuqekttsko during its operational lifespan.</w:t>
      </w:r>
    </w:p>
    <w:p>
      <w:pPr>
        <w:numPr>
          <w:ilvl w:val="1"/>
          <w:numId w:val="1025"/>
        </w:numPr>
        <w:pStyle w:val="Compact"/>
      </w:pPr>
      <w:r>
        <w:t xml:space="preserve">Explore options for product design that enables integration with renewable energy sources at the user end.</w:t>
      </w:r>
    </w:p>
    <w:p>
      <w:pPr>
        <w:numPr>
          <w:ilvl w:val="1"/>
          <w:numId w:val="1025"/>
        </w:numPr>
        <w:pStyle w:val="Compact"/>
      </w:pPr>
      <w:r>
        <w:t xml:space="preserve">Educate consumers on energy-efficient usage patterns.</w:t>
      </w:r>
    </w:p>
    <w:p>
      <w:pPr>
        <w:numPr>
          <w:ilvl w:val="0"/>
          <w:numId w:val="1024"/>
        </w:numPr>
        <w:pStyle w:val="Compact"/>
      </w:pPr>
      <w:r>
        <w:rPr>
          <w:bCs/>
          <w:b/>
        </w:rPr>
        <w:t xml:space="preserve">Sustainable Material Sourcing:</w:t>
      </w:r>
    </w:p>
    <w:p>
      <w:pPr>
        <w:numPr>
          <w:ilvl w:val="1"/>
          <w:numId w:val="1026"/>
        </w:numPr>
        <w:pStyle w:val="Compact"/>
      </w:pPr>
      <w:r>
        <w:t xml:space="preserve">Prioritize suppliers offering materials with lower embodied carbon footprints, including recycled content (beyond end-of-life credits, focusing on upstream circularity).</w:t>
      </w:r>
    </w:p>
    <w:p>
      <w:pPr>
        <w:numPr>
          <w:ilvl w:val="1"/>
          <w:numId w:val="1026"/>
        </w:numPr>
        <w:pStyle w:val="Compact"/>
      </w:pPr>
      <w:r>
        <w:t xml:space="preserve">Investigate alternative, lower-impact materials while maintaining product performance.</w:t>
      </w:r>
    </w:p>
    <w:p>
      <w:pPr>
        <w:numPr>
          <w:ilvl w:val="1"/>
          <w:numId w:val="1026"/>
        </w:numPr>
        <w:pStyle w:val="Compact"/>
      </w:pPr>
      <w:r>
        <w:t xml:space="preserve">Engage with suppliers to encourage their decarbonization efforts.</w:t>
      </w:r>
    </w:p>
    <w:p>
      <w:pPr>
        <w:numPr>
          <w:ilvl w:val="0"/>
          <w:numId w:val="1024"/>
        </w:numPr>
        <w:pStyle w:val="Compact"/>
      </w:pPr>
      <w:r>
        <w:rPr>
          <w:bCs/>
          <w:b/>
        </w:rPr>
        <w:t xml:space="preserve">Manufacturing Optimization:</w:t>
      </w:r>
    </w:p>
    <w:p>
      <w:pPr>
        <w:numPr>
          <w:ilvl w:val="1"/>
          <w:numId w:val="1027"/>
        </w:numPr>
        <w:pStyle w:val="Compact"/>
      </w:pPr>
      <w:r>
        <w:t xml:space="preserve">Increase the percentage of renewable energy used in manufacturing facilities (woxxxhqrmh), beyond the current 60%.</w:t>
      </w:r>
    </w:p>
    <w:p>
      <w:pPr>
        <w:numPr>
          <w:ilvl w:val="1"/>
          <w:numId w:val="1027"/>
        </w:numPr>
        <w:pStyle w:val="Compact"/>
      </w:pPr>
      <w:r>
        <w:t xml:space="preserve">Implement energy efficiency measures within production processes to reduce overall energy intensity (pgwninhzeo).</w:t>
      </w:r>
    </w:p>
    <w:p>
      <w:pPr>
        <w:numPr>
          <w:ilvl w:val="1"/>
          <w:numId w:val="1027"/>
        </w:numPr>
        <w:pStyle w:val="Compact"/>
      </w:pPr>
      <w:r>
        <w:t xml:space="preserve">Explore opportunities for on-site renewable energy generation.</w:t>
      </w:r>
    </w:p>
    <w:p>
      <w:pPr>
        <w:numPr>
          <w:ilvl w:val="0"/>
          <w:numId w:val="1024"/>
        </w:numPr>
        <w:pStyle w:val="Compact"/>
      </w:pPr>
      <w:r>
        <w:rPr>
          <w:bCs/>
          <w:b/>
        </w:rPr>
        <w:t xml:space="preserve">Supply Chain Logistics:</w:t>
      </w:r>
    </w:p>
    <w:p>
      <w:pPr>
        <w:numPr>
          <w:ilvl w:val="1"/>
          <w:numId w:val="1028"/>
        </w:numPr>
        <w:pStyle w:val="Compact"/>
      </w:pPr>
      <w:r>
        <w:t xml:space="preserve">Optimize transport routes and modes for both inbound materials and outbound products, favoring lower-emission options like rail or sea freight where feasible.</w:t>
      </w:r>
    </w:p>
    <w:p>
      <w:pPr>
        <w:numPr>
          <w:ilvl w:val="1"/>
          <w:numId w:val="1028"/>
        </w:numPr>
        <w:pStyle w:val="Compact"/>
      </w:pPr>
      <w:r>
        <w:t xml:space="preserve">Collaborate with logistics partners to encourage the adoption of electric or low-carbon vehicles for last-mile delivery.</w:t>
      </w:r>
    </w:p>
    <w:p>
      <w:pPr>
        <w:numPr>
          <w:ilvl w:val="0"/>
          <w:numId w:val="1024"/>
        </w:numPr>
        <w:pStyle w:val="Compact"/>
      </w:pPr>
      <w:r>
        <w:rPr>
          <w:bCs/>
          <w:b/>
        </w:rPr>
        <w:t xml:space="preserve">Strengthen Circular Economy Initiatives:</w:t>
      </w:r>
    </w:p>
    <w:p>
      <w:pPr>
        <w:numPr>
          <w:ilvl w:val="1"/>
          <w:numId w:val="1029"/>
        </w:numPr>
        <w:pStyle w:val="Compact"/>
      </w:pPr>
      <w:r>
        <w:t xml:space="preserve">Expand and promote take-back and recycling programs (skfuspzizr) to maximize material recovery and ensure high-quality recycling streams.</w:t>
      </w:r>
    </w:p>
    <w:p>
      <w:pPr>
        <w:numPr>
          <w:ilvl w:val="1"/>
          <w:numId w:val="1029"/>
        </w:numPr>
        <w:pStyle w:val="Compact"/>
      </w:pPr>
      <w:r>
        <w:t xml:space="preserve">Explore product-as-a-service models or modular designs to extend product lifespan and facilitate repair and refurbishment.</w:t>
      </w:r>
    </w:p>
    <w:p>
      <w:pPr>
        <w:pStyle w:val="FirstParagraph"/>
      </w:pPr>
      <w:r>
        <w:t xml:space="preserve">Confidential - Internal Use Only | Page X of 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1"/>
  </w:num>
  <w:num w:numId="102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vuqekttsko</dc:title>
  <dc:creator/>
  <dc:description>Detailed Product Carbon Footprint (PCF) analysis report for vuqekttsko by numojsgfhk, following GHG Protocol standards and 2026 LSR updates.</dc:description>
  <dc:language>en</dc:language>
  <cp:keywords/>
  <dcterms:created xsi:type="dcterms:W3CDTF">2026-07-15T13:35:06Z</dcterms:created>
  <dcterms:modified xsi:type="dcterms:W3CDTF">2026-07-15T13:35:06Z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