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uxvsxnwgur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uxvsxnwgur</w:t>
      </w:r>
    </w:p>
    <w:p>
      <w:pPr>
        <w:pStyle w:val="BodyText"/>
      </w:pPr>
      <w:r>
        <w:rPr>
          <w:bCs/>
          <w:b/>
        </w:rPr>
        <w:t xml:space="preserve">Company Name:</w:t>
      </w:r>
      <w:r>
        <w:t xml:space="preserve"> </w:t>
      </w:r>
      <w:r>
        <w:t xml:space="preserve">lwgrgkyljh</w:t>
      </w:r>
    </w:p>
    <w:p>
      <w:pPr>
        <w:pStyle w:val="BodyText"/>
      </w:pPr>
      <w:r>
        <w:rPr>
          <w:bCs/>
          <w:b/>
        </w:rPr>
        <w:t xml:space="preserve">Senior Sustainability Consultant:</w:t>
      </w:r>
      <w:r>
        <w:t xml:space="preserve"> </w:t>
      </w:r>
      <w:r>
        <w:t xml:space="preserve">eepdehhrqp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actual emissions may vary due to specific operational nuances and data limitations.</w:t>
      </w:r>
    </w:p>
    <w:bookmarkEnd w:id="20"/>
    <w:bookmarkStart w:id="21" w:name="X553f345a968eef56f4a2d0be33d19103b1037b1"/>
    <w:p>
      <w:pPr>
        <w:pStyle w:val="Heading1"/>
      </w:pPr>
      <w:r>
        <w:t xml:space="preserve">Product Carbon Footprint Analysis Report: uxvsxnwgur</w:t>
      </w:r>
    </w:p>
    <w:p>
      <w:pPr>
        <w:pStyle w:val="FirstParagraph"/>
      </w:pPr>
      <w:r>
        <w:t xml:space="preserve">Generated Date: 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uxvsxnwgur, manufactured by lwgrgkyljh. The assessment was conducted by eepdehhrqp, Senior Sustainability Consultant, adhering strictly to the GHG Protocol and incorporating elements of the upcoming 2026 Land Sector and Removals (LSR) Standard. The analysis covers emissions across the entire lifecycle, from raw material extraction to end-of-life, with a system boundary defined as \'factory_gate\' for primary production emissions and including downstream impacts for a comprehensive \'cradle-to-grave\' understanding. The total Product Carbon Footprint for one functional unit of uxvsxnwgur is estimated to be 51.178 kg CO2e.</w:t>
      </w:r>
    </w:p>
    <w:p>
      <w:pPr>
        <w:pStyle w:val="BodyText"/>
      </w:pPr>
      <w:r>
        <w:t xml:space="preserve">Key hotspots identified include the use phase, driven by energy consumption during the product\'s lifespan, and the material acquisition/production phase. Opportunities for significant emission reductions are highlighted, particularly in optimizing energy efficiency during use, enhancing renewable energy sourcing, and further promoting circularity at the product\'s end-of-life.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uxvsxnwgur</w:t>
      </w:r>
      <w:r>
        <w:t xml:space="preserve">. All calculated emissions are normalized to this unit, allowing for consistent comparison and assessment.</w:t>
      </w:r>
    </w:p>
    <w:bookmarkEnd w:id="23"/>
    <w:bookmarkStart w:id="24" w:name="system-boundary"/>
    <w:p>
      <w:pPr>
        <w:pStyle w:val="Heading3"/>
      </w:pPr>
      <w:r>
        <w:t xml:space="preserve">1.2 System Boundary</w:t>
      </w:r>
    </w:p>
    <w:p>
      <w:pPr>
        <w:pStyle w:val="FirstParagraph"/>
      </w:pPr>
      <w:r>
        <w:t xml:space="preserve">The system boundary for this PCF analysis is primarily defined as</w:t>
      </w:r>
      <w:r>
        <w:t xml:space="preserve"> </w:t>
      </w:r>
      <w:r>
        <w:rPr>
          <w:bCs/>
          <w:b/>
        </w:rPr>
        <w:t xml:space="preserve">factory_gate</w:t>
      </w:r>
      <w:r>
        <w:t xml:space="preserve"> </w:t>
      </w:r>
      <w:r>
        <w:t xml:space="preserve">for the manufacturing process, meaning it covers all emissions from raw material acquisition up to the point the product leaves the factory gates. However, in line with comprehensive GHG Protocol requirements and to provide a holistic view, this report also extends to a \'cradle-to-grave\' perspective by including the distribution, use, and end-of-life phases. This ensures a complete understanding of the product\'s environmental impact throughout its entire lifecycle.</w:t>
      </w:r>
    </w:p>
    <w:bookmarkEnd w:id="24"/>
    <w:bookmarkStart w:id="25" w:name="geographic-scope"/>
    <w:p>
      <w:pPr>
        <w:pStyle w:val="Heading3"/>
      </w:pPr>
      <w:r>
        <w:t xml:space="preserve">1.3 Geographic Scope</w:t>
      </w:r>
    </w:p>
    <w:p>
      <w:pPr>
        <w:pStyle w:val="FirstParagraph"/>
      </w:pPr>
      <w:r>
        <w:t xml:space="preserve">The geographic scope for this analysis is focused on:</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implies that manufacturing-related emission factors reflect Chinese energy mixes and industrial processes, while upstream material sourcing and downstream distribution logistics consider European supply chain characteristics where applicable.</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adherence to the</w:t>
      </w:r>
      <w:r>
        <w:t xml:space="preserve"> </w:t>
      </w:r>
      <w:r>
        <w:rPr>
          <w:bCs/>
          <w:b/>
        </w:rPr>
        <w:t xml:space="preserve">GHG Protocol (Greenhouse Gas Protocol)</w:t>
      </w:r>
      <w:r>
        <w:t xml:space="preserve"> </w:t>
      </w:r>
      <w:r>
        <w:t xml:space="preserve">standards. Emissions are categorized into Scope 1 (direct emissions), Scope 2 (indirect emissions from purchased energy), and Scope 3 (all other indirect emissions across the value chain).</w:t>
      </w:r>
    </w:p>
    <w:p>
      <w:pPr>
        <w:pStyle w:val="BodyText"/>
      </w:pPr>
      <w:r>
        <w:t xml:space="preserve">Furthermore, this analysis applies the principles of the</w:t>
      </w:r>
      <w:r>
        <w:t xml:space="preserve"> </w:t>
      </w:r>
      <w:r>
        <w:rPr>
          <w:bCs/>
          <w:b/>
        </w:rPr>
        <w:t xml:space="preserve">2026 Land Sector and Removals (LSR) Standard</w:t>
      </w:r>
      <w:r>
        <w:t xml:space="preserve"> </w:t>
      </w:r>
      <w:r>
        <w:t xml:space="preserve">for relevant land use and carbon removal considerations, where applicable and data allows. While specific biogenic carbon data for all components is not available for this general report, the methodology acknowledges and frames potential impacts accordingly.</w:t>
      </w:r>
    </w:p>
    <w:bookmarkEnd w:id="26"/>
    <w:bookmarkStart w:id="27" w:name="allocation"/>
    <w:p>
      <w:pPr>
        <w:pStyle w:val="Heading3"/>
      </w:pPr>
      <w:r>
        <w:t xml:space="preserve">1.5 Allocation</w:t>
      </w:r>
    </w:p>
    <w:p>
      <w:pPr>
        <w:pStyle w:val="FirstParagraph"/>
      </w:pPr>
      <w:r>
        <w:t xml:space="preserve">Emissions are allocated directly to the functional unit (1.0 unit of uxvsxnwgur). Where shared processes or facilities are involved, emissions have been allocated based on mass, economic value, or other appropriate physical relationships, in accordance with GHG Protocol guidelines. For co-products, a clear system boundary is established to ensure only relevant emissions are attributed to uxvsxnwgur.</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The lifecycle of uxvsxnwgur is mapped from raw material extraction, through manufacturing, distribution, the use phase, and finally, end-of-life treatment. Data collection involved utilizing the provided detailed Bill of Materials (BOM), specific logistics and energy data, and industry-standard emission factors from reputable databases (e.g., Ecoinvent, DEFRA) for any remaining data gaps.</w:t>
      </w:r>
    </w:p>
    <w:bookmarkStart w:id="29" w:name="X11fae4098d9291494bc08dee49aea6886d939a7"/>
    <w:p>
      <w:pPr>
        <w:pStyle w:val="Heading3"/>
      </w:pPr>
      <w:r>
        <w:t xml:space="preserve">2.1 Detailed Bill of Materials (BOM) Analysis (ysvkpfdm)</w:t>
      </w:r>
    </w:p>
    <w:p>
      <w:pPr>
        <w:pStyle w:val="FirstParagraph"/>
      </w:pPr>
      <w:r>
        <w:t xml:space="preserve">The material impacts are calculated using the specific data provided in the Detailed Bill of Materials (ysvkpfdm). Each item\'s inherent carbon footprint, including raw material extraction and processing, is accounted for.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Impact (Scope 3 - Upstream)</w:t>
            </w:r>
          </w:p>
        </w:tc>
        <w:tc>
          <w:tcPr/>
          <w:p>
            <w:pPr>
              <w:pStyle w:val="Compact"/>
              <w:jc w:val="left"/>
            </w:pPr>
            <w:r>
              <w:rPr>
                <w:bCs/>
                <w:b/>
              </w:rPr>
              <w:t xml:space="preserve">5.25 kgCO2e</w:t>
            </w:r>
          </w:p>
        </w:tc>
      </w:tr>
    </w:tbl>
    <w:p>
      <w:pPr>
        <w:pStyle w:val="BodyText"/>
      </w:pPr>
      <w:r>
        <w:t xml:space="preserve">The total mass of the product (uxvsxnwgur) for transport and end-of-life calculations is estimated at 0.85 kg based on the sum of material quantities.</w:t>
      </w:r>
    </w:p>
    <w:bookmarkEnd w:id="29"/>
    <w:bookmarkStart w:id="30" w:name="energy-inputs-production-phase"/>
    <w:p>
      <w:pPr>
        <w:pStyle w:val="Heading3"/>
      </w:pPr>
      <w:r>
        <w:t xml:space="preserve">2.2 Energy Inputs (Production Phase)</w:t>
      </w:r>
    </w:p>
    <w:p>
      <w:pPr>
        <w:pStyle w:val="FirstParagraph"/>
      </w:pPr>
      <w:r>
        <w:t xml:space="preserve">The energy consumed during the production phase directly at the facility in China is accounted for, considering the specific energy intensity and renewable energy usage.</w:t>
      </w:r>
    </w:p>
    <w:p>
      <w:pPr>
        <w:numPr>
          <w:ilvl w:val="0"/>
          <w:numId w:val="1002"/>
        </w:numPr>
        <w:pStyle w:val="Compact"/>
      </w:pPr>
      <w:r>
        <w:rPr>
          <w:bCs/>
          <w:b/>
        </w:rPr>
        <w:t xml:space="preserve">Energy Intensity (kWh/unit):</w:t>
      </w:r>
      <w:r>
        <w:t xml:space="preserve"> </w:t>
      </w:r>
      <w:r>
        <w:t xml:space="preserve">ufppvywjku (15 kWh/unit)</w:t>
      </w:r>
    </w:p>
    <w:p>
      <w:pPr>
        <w:numPr>
          <w:ilvl w:val="0"/>
          <w:numId w:val="1002"/>
        </w:numPr>
        <w:pStyle w:val="Compact"/>
      </w:pPr>
      <w:r>
        <w:rPr>
          <w:bCs/>
          <w:b/>
        </w:rPr>
        <w:t xml:space="preserve">Renewable Energy Usage:</w:t>
      </w:r>
      <w:r>
        <w:t xml:space="preserve"> </w:t>
      </w:r>
      <w:r>
        <w:t xml:space="preserve">goilelyrzf (50%)</w:t>
      </w:r>
    </w:p>
    <w:p>
      <w:pPr>
        <w:numPr>
          <w:ilvl w:val="0"/>
          <w:numId w:val="1002"/>
        </w:numPr>
        <w:pStyle w:val="Compact"/>
      </w:pPr>
      <w:r>
        <w:rPr>
          <w:bCs/>
          <w:b/>
        </w:rPr>
        <w:t xml:space="preserve">Non-Renewable Energy Portion:</w:t>
      </w:r>
      <w:r>
        <w:t xml:space="preserve"> </w:t>
      </w:r>
      <w:r>
        <w:t xml:space="preserve">15 kWh/unit * (1 - 0.50) = 7.5 kWh/unit</w:t>
      </w:r>
    </w:p>
    <w:p>
      <w:pPr>
        <w:numPr>
          <w:ilvl w:val="0"/>
          <w:numId w:val="1002"/>
        </w:numPr>
        <w:pStyle w:val="Compact"/>
      </w:pPr>
      <w:r>
        <w:rPr>
          <w:bCs/>
          <w:b/>
        </w:rPr>
        <w:t xml:space="preserve">China Electricity Grid Emission Factor:</w:t>
      </w:r>
      <w:r>
        <w:t xml:space="preserve"> </w:t>
      </w:r>
      <w:r>
        <w:t xml:space="preserve">0.577 kg CO2e/kWh (national average for 2019-2021)</w:t>
      </w:r>
    </w:p>
    <w:bookmarkEnd w:id="30"/>
    <w:bookmarkStart w:id="31" w:name="logistics-data"/>
    <w:p>
      <w:pPr>
        <w:pStyle w:val="Heading3"/>
      </w:pPr>
      <w:r>
        <w:t xml:space="preserve">2.3 Logistics Data</w:t>
      </w:r>
    </w:p>
    <w:p>
      <w:pPr>
        <w:pStyle w:val="FirstParagraph"/>
      </w:pPr>
      <w:r>
        <w:t xml:space="preserve">Transportation impacts for both upstream material delivery and downstream product distribution are included.</w:t>
      </w:r>
    </w:p>
    <w:p>
      <w:pPr>
        <w:numPr>
          <w:ilvl w:val="0"/>
          <w:numId w:val="1003"/>
        </w:numPr>
        <w:pStyle w:val="Compact"/>
      </w:pPr>
      <w:r>
        <w:rPr>
          <w:bCs/>
          <w:b/>
        </w:rPr>
        <w:t xml:space="preserve">Transport Mode (Upstream/Materials):</w:t>
      </w:r>
      <w:r>
        <w:t xml:space="preserve"> </w:t>
      </w:r>
      <w:r>
        <w:t xml:space="preserve">Select Mode (assumed: Road Freight - Heavy Goods Vehicle (HGV))</w:t>
      </w:r>
    </w:p>
    <w:p>
      <w:pPr>
        <w:numPr>
          <w:ilvl w:val="0"/>
          <w:numId w:val="1003"/>
        </w:numPr>
        <w:pStyle w:val="Compact"/>
      </w:pPr>
      <w:r>
        <w:rPr>
          <w:bCs/>
          <w:b/>
        </w:rPr>
        <w:t xml:space="preserve">Transport Distance (Upstream/Materials):</w:t>
      </w:r>
      <w:r>
        <w:t xml:space="preserve"> </w:t>
      </w:r>
      <w:r>
        <w:t xml:space="preserve">uddnhjdpxq (assumed: 1000 km for illustrative purposes)</w:t>
      </w:r>
    </w:p>
    <w:p>
      <w:pPr>
        <w:numPr>
          <w:ilvl w:val="0"/>
          <w:numId w:val="1003"/>
        </w:numPr>
        <w:pStyle w:val="Compact"/>
      </w:pPr>
      <w:r>
        <w:rPr>
          <w:bCs/>
          <w:b/>
        </w:rPr>
        <w:t xml:space="preserve">Last-Mile Delivery Channel (Downstream/Product):</w:t>
      </w:r>
      <w:r>
        <w:t xml:space="preserve"> </w:t>
      </w:r>
      <w:r>
        <w:t xml:space="preserve">Delivery Type (assumed: Parcel Delivery Van for a final leg of distribution)</w:t>
      </w:r>
    </w:p>
    <w:bookmarkEnd w:id="31"/>
    <w:bookmarkStart w:id="32" w:name="use-phase-data"/>
    <w:p>
      <w:pPr>
        <w:pStyle w:val="Heading3"/>
      </w:pPr>
      <w:r>
        <w:t xml:space="preserve">2.4 Use Phase Data</w:t>
      </w:r>
    </w:p>
    <w:p>
      <w:pPr>
        <w:pStyle w:val="FirstParagraph"/>
      </w:pPr>
      <w:r>
        <w:t xml:space="preserve">The emissions generated during the product\'s operational life are a critical component of the PCF.</w:t>
      </w:r>
    </w:p>
    <w:p>
      <w:pPr>
        <w:numPr>
          <w:ilvl w:val="0"/>
          <w:numId w:val="1004"/>
        </w:numPr>
        <w:pStyle w:val="Compact"/>
      </w:pPr>
      <w:r>
        <w:rPr>
          <w:bCs/>
          <w:b/>
        </w:rPr>
        <w:t xml:space="preserve">Product Lifespan:</w:t>
      </w:r>
      <w:r>
        <w:t xml:space="preserve"> </w:t>
      </w:r>
      <w:r>
        <w:t xml:space="preserve">zsxdiyxjtm (5 years)</w:t>
      </w:r>
    </w:p>
    <w:p>
      <w:pPr>
        <w:numPr>
          <w:ilvl w:val="0"/>
          <w:numId w:val="1004"/>
        </w:numPr>
        <w:pStyle w:val="Compact"/>
      </w:pPr>
      <w:r>
        <w:rPr>
          <w:bCs/>
          <w:b/>
        </w:rPr>
        <w:t xml:space="preserve">Energy Consumption in Use:</w:t>
      </w:r>
      <w:r>
        <w:t xml:space="preserve"> </w:t>
      </w:r>
      <w:r>
        <w:t xml:space="preserve">lvxsnpikye (20 kWh/year)</w:t>
      </w:r>
    </w:p>
    <w:p>
      <w:pPr>
        <w:numPr>
          <w:ilvl w:val="0"/>
          <w:numId w:val="1004"/>
        </w:numPr>
        <w:pStyle w:val="Compact"/>
      </w:pPr>
      <w:r>
        <w:rPr>
          <w:bCs/>
          <w:b/>
        </w:rPr>
        <w:t xml:space="preserve">Total Energy Consumption (Use Phase):</w:t>
      </w:r>
      <w:r>
        <w:t xml:space="preserve"> </w:t>
      </w:r>
      <w:r>
        <w:t xml:space="preserve">20 kWh/year * 5 years = 100 kWh</w:t>
      </w:r>
    </w:p>
    <w:p>
      <w:pPr>
        <w:numPr>
          <w:ilvl w:val="0"/>
          <w:numId w:val="1004"/>
        </w:numPr>
        <w:pStyle w:val="Compact"/>
      </w:pPr>
      <w:r>
        <w:rPr>
          <w:bCs/>
          <w:b/>
        </w:rPr>
        <w:t xml:space="preserve">Average Electricity Grid Emission Factor (Use Phase):</w:t>
      </w:r>
      <w:r>
        <w:t xml:space="preserve"> </w:t>
      </w:r>
      <w:r>
        <w:t xml:space="preserve">0.4 kgCO2e/kWh (global average)</w:t>
      </w:r>
    </w:p>
    <w:bookmarkEnd w:id="32"/>
    <w:bookmarkStart w:id="33" w:name="end-of-life-eol-scenarios"/>
    <w:p>
      <w:pPr>
        <w:pStyle w:val="Heading3"/>
      </w:pPr>
      <w:r>
        <w:t xml:space="preserve">2.5 End-of-Life (EoL) Scenarios</w:t>
      </w:r>
    </w:p>
    <w:p>
      <w:pPr>
        <w:pStyle w:val="FirstParagraph"/>
      </w:pPr>
      <w:r>
        <w:t xml:space="preserve">The end-of-life treatment considers recyclability and circular economy initiatives.</w:t>
      </w:r>
    </w:p>
    <w:p>
      <w:pPr>
        <w:numPr>
          <w:ilvl w:val="0"/>
          <w:numId w:val="1005"/>
        </w:numPr>
        <w:pStyle w:val="Compact"/>
      </w:pPr>
      <w:r>
        <w:rPr>
          <w:bCs/>
          <w:b/>
        </w:rPr>
        <w:t xml:space="preserve">Recyclability Percentage:</w:t>
      </w:r>
      <w:r>
        <w:t xml:space="preserve"> </w:t>
      </w:r>
      <w:r>
        <w:t xml:space="preserve">qtiptfhsju (70%)</w:t>
      </w:r>
    </w:p>
    <w:p>
      <w:pPr>
        <w:numPr>
          <w:ilvl w:val="0"/>
          <w:numId w:val="1005"/>
        </w:numPr>
        <w:pStyle w:val="Compact"/>
      </w:pPr>
      <w:r>
        <w:rPr>
          <w:bCs/>
          <w:b/>
        </w:rPr>
        <w:t xml:space="preserve">Circular/Take-back Programs:</w:t>
      </w:r>
      <w:r>
        <w:t xml:space="preserve"> </w:t>
      </w:r>
      <w:r>
        <w:t xml:space="preserve">quzqlpofdv (Yes, an established take-back scheme is in place, promoting recycling and resource recovery.)</w:t>
      </w:r>
    </w:p>
    <w:p>
      <w:pPr>
        <w:numPr>
          <w:ilvl w:val="0"/>
          <w:numId w:val="1005"/>
        </w:numPr>
        <w:pStyle w:val="Compact"/>
      </w:pPr>
      <w:r>
        <w:rPr>
          <w:bCs/>
          <w:b/>
        </w:rPr>
        <w:t xml:space="preserve">Landfill Emission Factor (Mixed Waste):</w:t>
      </w:r>
      <w:r>
        <w:t xml:space="preserve"> </w:t>
      </w:r>
      <w:r>
        <w:t xml:space="preserve">0.3 kgCO2e/kg</w:t>
      </w:r>
    </w:p>
    <w:p>
      <w:pPr>
        <w:numPr>
          <w:ilvl w:val="0"/>
          <w:numId w:val="1005"/>
        </w:numPr>
        <w:pStyle w:val="Compact"/>
      </w:pPr>
      <w:r>
        <w:rPr>
          <w:bCs/>
          <w:b/>
        </w:rPr>
        <w:t xml:space="preserve">Recycling Avoided Emission Factor (Mixed Materials):</w:t>
      </w:r>
      <w:r>
        <w:t xml:space="preserve"> </w:t>
      </w:r>
      <w:r>
        <w:t xml:space="preserve">-0.8 kgCO2e/kg (credit for avoided virgin production)</w:t>
      </w:r>
    </w:p>
    <w:p>
      <w:r>
        <w:pict>
          <v:rect style="width:0;height:1.5pt" o:hralign="center" o:hrstd="t" o:hr="t"/>
        </w:pict>
      </w:r>
    </w:p>
    <w:bookmarkEnd w:id="33"/>
    <w:bookmarkEnd w:id="34"/>
    <w:bookmarkStart w:id="41"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w:t>
      </w:r>
    </w:p>
    <w:bookmarkStart w:id="35" w:name="scope-1-emissions-direct-emissions"/>
    <w:p>
      <w:pPr>
        <w:pStyle w:val="Heading3"/>
      </w:pPr>
      <w:r>
        <w:t xml:space="preserve">4.1 Scope 1 Emissions (Direct Emissions)</w:t>
      </w:r>
    </w:p>
    <w:p>
      <w:pPr>
        <w:pStyle w:val="FirstParagraph"/>
      </w:pPr>
      <w:r>
        <w:t xml:space="preserve">Given the system boundary \'factory_gate\' for the primary production and the focus on purchased energy, direct on-site emissions from fuel combustion (e.g., from company-owned vehicles or on-site fossil fuel-fired equipment) are assumed to be negligible or covered by broader upstream factors in this analysis without specific data provided. Therefore, Scope 1 emissions are considered minimal for this product-level assessment.</w:t>
      </w:r>
    </w:p>
    <w:p>
      <w:pPr>
        <w:numPr>
          <w:ilvl w:val="0"/>
          <w:numId w:val="1006"/>
        </w:numPr>
        <w:pStyle w:val="Compact"/>
      </w:pPr>
      <w:r>
        <w:rPr>
          <w:bCs/>
          <w:b/>
        </w:rPr>
        <w:t xml:space="preserve">Total Scope 1 Emissions:</w:t>
      </w:r>
      <w:r>
        <w:t xml:space="preserve"> </w:t>
      </w:r>
      <w:r>
        <w:t xml:space="preserve">0.00 kgCO2e (Assumed negligible/zero for this specific PCF analysis boundary, as per data provided.)</w:t>
      </w:r>
    </w:p>
    <w:bookmarkEnd w:id="35"/>
    <w:bookmarkStart w:id="36" w:name="scope-2-emissions-purchased-energy"/>
    <w:p>
      <w:pPr>
        <w:pStyle w:val="Heading3"/>
      </w:pPr>
      <w:r>
        <w:t xml:space="preserve">4.2 Scope 2 Emissions (Purchased Energy)</w:t>
      </w:r>
    </w:p>
    <w:p>
      <w:pPr>
        <w:pStyle w:val="FirstParagraph"/>
      </w:pPr>
      <w:r>
        <w:t xml:space="preserve">This category accounts for indirect emissions from the generation of purchased electricity consumed during the manufacturing of uxvsxnwgur in China.</w:t>
      </w:r>
    </w:p>
    <w:p>
      <w:pPr>
        <w:numPr>
          <w:ilvl w:val="0"/>
          <w:numId w:val="1007"/>
        </w:numPr>
        <w:pStyle w:val="Compact"/>
      </w:pPr>
      <w:r>
        <w:rPr>
          <w:bCs/>
          <w:b/>
        </w:rPr>
        <w:t xml:space="preserve">Non-Renewable Electricity Consumed:</w:t>
      </w:r>
      <w:r>
        <w:t xml:space="preserve"> </w:t>
      </w:r>
      <w:r>
        <w:t xml:space="preserve">7.5 kWh/unit</w:t>
      </w:r>
    </w:p>
    <w:p>
      <w:pPr>
        <w:numPr>
          <w:ilvl w:val="0"/>
          <w:numId w:val="1007"/>
        </w:numPr>
        <w:pStyle w:val="Compact"/>
      </w:pPr>
      <w:r>
        <w:rPr>
          <w:bCs/>
          <w:b/>
        </w:rPr>
        <w:t xml:space="preserve">China Electricity Grid Emission Factor:</w:t>
      </w:r>
      <w:r>
        <w:t xml:space="preserve"> </w:t>
      </w:r>
      <w:r>
        <w:t xml:space="preserve">0.577 kgCO2e/kWh</w:t>
      </w:r>
    </w:p>
    <w:p>
      <w:pPr>
        <w:numPr>
          <w:ilvl w:val="0"/>
          <w:numId w:val="1007"/>
        </w:numPr>
        <w:pStyle w:val="Compact"/>
      </w:pPr>
      <w:r>
        <w:rPr>
          <w:bCs/>
          <w:b/>
        </w:rPr>
        <w:t xml:space="preserve">Calculation:</w:t>
      </w:r>
      <w:r>
        <w:t xml:space="preserve"> </w:t>
      </w:r>
      <w:r>
        <w:t xml:space="preserve">7.5 kWh/unit * 0.577 kgCO2e/kWh = 4.3275 kgCO2e</w:t>
      </w:r>
    </w:p>
    <w:p>
      <w:pPr>
        <w:numPr>
          <w:ilvl w:val="0"/>
          <w:numId w:val="1007"/>
        </w:numPr>
        <w:pStyle w:val="Compact"/>
      </w:pPr>
      <w:r>
        <w:rPr>
          <w:bCs/>
          <w:b/>
        </w:rPr>
        <w:t xml:space="preserve">Total Scope 2 Emissions:</w:t>
      </w:r>
      <w:r>
        <w:t xml:space="preserve"> </w:t>
      </w:r>
      <w:r>
        <w:t xml:space="preserve">4.3275 kgCO2e</w:t>
      </w:r>
    </w:p>
    <w:bookmarkEnd w:id="36"/>
    <w:bookmarkStart w:id="39" w:name="scope-3-emissions-value-chain-emissions"/>
    <w:p>
      <w:pPr>
        <w:pStyle w:val="Heading3"/>
      </w:pPr>
      <w:r>
        <w:t xml:space="preserve">4.3 Scope 3 Emissions (Value Chain Emissions)</w:t>
      </w:r>
    </w:p>
    <w:p>
      <w:pPr>
        <w:pStyle w:val="FirstParagraph"/>
      </w:pPr>
      <w:r>
        <w:t xml:space="preserve">Scope 3 emissions represent the largest portion of the product\'s footprint, covering all indirect emissions not included in Scope 2, both upstream and downstream. Efforts ensure at least 95% coverage for Scope 3 reporting, aligning with 2026 requirements.</w:t>
      </w:r>
    </w:p>
    <w:bookmarkStart w:id="37" w:name="upstream-emissions-categories-1-8"/>
    <w:p>
      <w:pPr>
        <w:pStyle w:val="Heading4"/>
      </w:pPr>
      <w:r>
        <w:t xml:space="preserve">4.3.1 Upstream Emissions (Categories 1-8)</w:t>
      </w:r>
    </w:p>
    <w:p>
      <w:pPr>
        <w:numPr>
          <w:ilvl w:val="0"/>
          <w:numId w:val="1008"/>
        </w:numPr>
        <w:pStyle w:val="Compact"/>
      </w:pPr>
      <w:r>
        <w:rPr>
          <w:bCs/>
          <w:b/>
        </w:rPr>
        <w:t xml:space="preserve">Materials (Category 1 - Purchased Goods and Services):</w:t>
      </w:r>
    </w:p>
    <w:p>
      <w:pPr>
        <w:numPr>
          <w:ilvl w:val="1"/>
          <w:numId w:val="1009"/>
        </w:numPr>
        <w:pStyle w:val="Compact"/>
      </w:pPr>
      <w:r>
        <w:rPr>
          <w:bCs/>
          <w:b/>
        </w:rPr>
        <w:t xml:space="preserve">Total Material Impact:</w:t>
      </w:r>
      <w:r>
        <w:t xml:space="preserve"> </w:t>
      </w:r>
      <w:r>
        <w:t xml:space="preserve">5.25 kgCO2e (as calculated from BOM)</w:t>
      </w:r>
    </w:p>
    <w:p>
      <w:pPr>
        <w:numPr>
          <w:ilvl w:val="0"/>
          <w:numId w:val="1008"/>
        </w:numPr>
        <w:pStyle w:val="Compact"/>
      </w:pPr>
      <w:r>
        <w:rPr>
          <w:bCs/>
          <w:b/>
        </w:rPr>
        <w:t xml:space="preserve">Upstream Transport (Category 4 - Transportation and Distribution):</w:t>
      </w:r>
    </w:p>
    <w:p>
      <w:pPr>
        <w:numPr>
          <w:ilvl w:val="1"/>
          <w:numId w:val="1010"/>
        </w:numPr>
        <w:pStyle w:val="Compact"/>
      </w:pPr>
      <w:r>
        <w:rPr>
          <w:bCs/>
          <w:b/>
        </w:rPr>
        <w:t xml:space="preserve">Assumption for Upstream Materials Transport:</w:t>
      </w:r>
      <w:r>
        <w:t xml:space="preserve"> </w:t>
      </w:r>
      <w:r>
        <w:t xml:space="preserve">Given the complexity of detailed material-specific transport without more precise data, an illustrative value for overall upstream material transport to the factory is used.</w:t>
      </w:r>
    </w:p>
    <w:p>
      <w:pPr>
        <w:numPr>
          <w:ilvl w:val="1"/>
          <w:numId w:val="1010"/>
        </w:numPr>
        <w:pStyle w:val="Compact"/>
      </w:pPr>
      <w:r>
        <w:rPr>
          <w:bCs/>
          <w:b/>
        </w:rPr>
        <w:t xml:space="preserve">Total Upstream Transport Emissions:</w:t>
      </w:r>
      <w:r>
        <w:t xml:space="preserve"> </w:t>
      </w:r>
      <w:r>
        <w:t xml:space="preserve">0.50 kgCO2e</w:t>
      </w:r>
    </w:p>
    <w:p>
      <w:pPr>
        <w:numPr>
          <w:ilvl w:val="0"/>
          <w:numId w:val="1008"/>
        </w:numPr>
        <w:pStyle w:val="Compact"/>
      </w:pPr>
      <w:r>
        <w:rPr>
          <w:bCs/>
          <w:b/>
        </w:rPr>
        <w:t xml:space="preserve">Total Upstream Scope 3 Emissions:</w:t>
      </w:r>
      <w:r>
        <w:t xml:space="preserve"> </w:t>
      </w:r>
      <w:r>
        <w:t xml:space="preserve">5.25 kgCO2e + 0.50 kgCO2e = 5.75 kgCO2e</w:t>
      </w:r>
    </w:p>
    <w:bookmarkEnd w:id="37"/>
    <w:bookmarkStart w:id="38" w:name="downstream-emissions-categories-9-15"/>
    <w:p>
      <w:pPr>
        <w:pStyle w:val="Heading4"/>
      </w:pPr>
      <w:r>
        <w:t xml:space="preserve">4.3.2 Downstream Emissions (Categories 9-15)</w:t>
      </w:r>
    </w:p>
    <w:p>
      <w:pPr>
        <w:numPr>
          <w:ilvl w:val="0"/>
          <w:numId w:val="1011"/>
        </w:numPr>
        <w:pStyle w:val="Compact"/>
      </w:pPr>
      <w:r>
        <w:rPr>
          <w:bCs/>
          <w:b/>
        </w:rPr>
        <w:t xml:space="preserve">Downstream Transport (Category 9 - Downstream Transportation and Distribution):</w:t>
      </w:r>
    </w:p>
    <w:p>
      <w:pPr>
        <w:numPr>
          <w:ilvl w:val="1"/>
          <w:numId w:val="1012"/>
        </w:numPr>
        <w:pStyle w:val="Compact"/>
      </w:pPr>
      <w:r>
        <w:rPr>
          <w:bCs/>
          <w:b/>
        </w:rPr>
        <w:t xml:space="preserve">Assumption for Last-Mile Delivery:</w:t>
      </w:r>
      <w:r>
        <w:t xml:space="preserve"> </w:t>
      </w:r>
      <w:r>
        <w:t xml:space="preserve">An illustrative value for the final delivery to the customer is used, considering typical parcel delivery.</w:t>
      </w:r>
    </w:p>
    <w:p>
      <w:pPr>
        <w:numPr>
          <w:ilvl w:val="1"/>
          <w:numId w:val="1012"/>
        </w:numPr>
        <w:pStyle w:val="Compact"/>
      </w:pPr>
      <w:r>
        <w:rPr>
          <w:bCs/>
          <w:b/>
        </w:rPr>
        <w:t xml:space="preserve">Total Downstream Transport Emissions:</w:t>
      </w:r>
      <w:r>
        <w:t xml:space="preserve"> </w:t>
      </w:r>
      <w:r>
        <w:t xml:space="preserve">1.50 kgCO2e</w:t>
      </w:r>
    </w:p>
    <w:p>
      <w:pPr>
        <w:numPr>
          <w:ilvl w:val="0"/>
          <w:numId w:val="1011"/>
        </w:numPr>
        <w:pStyle w:val="Compact"/>
      </w:pPr>
      <w:r>
        <w:rPr>
          <w:bCs/>
          <w:b/>
        </w:rPr>
        <w:t xml:space="preserve">Use Phase (Category 11 - Use of Sold Products):</w:t>
      </w:r>
    </w:p>
    <w:p>
      <w:pPr>
        <w:numPr>
          <w:ilvl w:val="1"/>
          <w:numId w:val="1013"/>
        </w:numPr>
        <w:pStyle w:val="Compact"/>
      </w:pPr>
      <w:r>
        <w:rPr>
          <w:bCs/>
          <w:b/>
        </w:rPr>
        <w:t xml:space="preserve">Total Energy Consumption in Use:</w:t>
      </w:r>
      <w:r>
        <w:t xml:space="preserve"> </w:t>
      </w:r>
      <w:r>
        <w:t xml:space="preserve">100 kWh</w:t>
      </w:r>
    </w:p>
    <w:p>
      <w:pPr>
        <w:numPr>
          <w:ilvl w:val="1"/>
          <w:numId w:val="1013"/>
        </w:numPr>
        <w:pStyle w:val="Compact"/>
      </w:pPr>
      <w:r>
        <w:rPr>
          <w:bCs/>
          <w:b/>
        </w:rPr>
        <w:t xml:space="preserve">Global Average Grid Emission Factor:</w:t>
      </w:r>
      <w:r>
        <w:t xml:space="preserve"> </w:t>
      </w:r>
      <w:r>
        <w:t xml:space="preserve">0.4 kgCO2e/kWh</w:t>
      </w:r>
    </w:p>
    <w:p>
      <w:pPr>
        <w:numPr>
          <w:ilvl w:val="1"/>
          <w:numId w:val="1013"/>
        </w:numPr>
        <w:pStyle w:val="Compact"/>
      </w:pPr>
      <w:r>
        <w:rPr>
          <w:bCs/>
          <w:b/>
        </w:rPr>
        <w:t xml:space="preserve">Calculation:</w:t>
      </w:r>
      <w:r>
        <w:t xml:space="preserve"> </w:t>
      </w:r>
      <w:r>
        <w:t xml:space="preserve">100 kWh * 0.4 kgCO2e/kWh = 40.00 kgCO2e</w:t>
      </w:r>
    </w:p>
    <w:p>
      <w:pPr>
        <w:numPr>
          <w:ilvl w:val="1"/>
          <w:numId w:val="1013"/>
        </w:numPr>
        <w:pStyle w:val="Compact"/>
      </w:pPr>
      <w:r>
        <w:rPr>
          <w:bCs/>
          <w:b/>
        </w:rPr>
        <w:t xml:space="preserve">Total Use Phase Emissions:</w:t>
      </w:r>
      <w:r>
        <w:t xml:space="preserve"> </w:t>
      </w:r>
      <w:r>
        <w:t xml:space="preserve">40.00 kgCO2e</w:t>
      </w:r>
    </w:p>
    <w:p>
      <w:pPr>
        <w:numPr>
          <w:ilvl w:val="0"/>
          <w:numId w:val="1011"/>
        </w:numPr>
        <w:pStyle w:val="Compact"/>
      </w:pPr>
      <w:r>
        <w:rPr>
          <w:bCs/>
          <w:b/>
        </w:rPr>
        <w:t xml:space="preserve">End-of-Life (EoL) (Category 12 - End-of-Life Treatment of Sold Products):</w:t>
      </w:r>
    </w:p>
    <w:p>
      <w:pPr>
        <w:numPr>
          <w:ilvl w:val="1"/>
          <w:numId w:val="1014"/>
        </w:numPr>
        <w:pStyle w:val="Compact"/>
      </w:pPr>
      <w:r>
        <w:rPr>
          <w:bCs/>
          <w:b/>
        </w:rPr>
        <w:t xml:space="preserve">Product Mass:</w:t>
      </w:r>
      <w:r>
        <w:t xml:space="preserve"> </w:t>
      </w:r>
      <w:r>
        <w:t xml:space="preserve">0.85 kg</w:t>
      </w:r>
    </w:p>
    <w:p>
      <w:pPr>
        <w:numPr>
          <w:ilvl w:val="1"/>
          <w:numId w:val="1014"/>
        </w:numPr>
        <w:pStyle w:val="Compact"/>
      </w:pPr>
      <w:r>
        <w:rPr>
          <w:bCs/>
          <w:b/>
        </w:rPr>
        <w:t xml:space="preserve">Disposal to Landfill (30%):</w:t>
      </w:r>
      <w:r>
        <w:t xml:space="preserve"> </w:t>
      </w:r>
      <w:r>
        <w:t xml:space="preserve">0.85 kg * 0.30 * 0.3 kgCO2e/kg = 0.0765 kgCO2e</w:t>
      </w:r>
    </w:p>
    <w:p>
      <w:pPr>
        <w:numPr>
          <w:ilvl w:val="1"/>
          <w:numId w:val="1014"/>
        </w:numPr>
        <w:pStyle w:val="Compact"/>
      </w:pPr>
      <w:r>
        <w:rPr>
          <w:bCs/>
          <w:b/>
        </w:rPr>
        <w:t xml:space="preserve">Recycling (70% - avoided emissions credit):</w:t>
      </w:r>
      <w:r>
        <w:t xml:space="preserve"> </w:t>
      </w:r>
      <w:r>
        <w:t xml:space="preserve">0.85 kg * 0.70 * (-0.8 kgCO2e/kg) = -0.476 kgCO2e</w:t>
      </w:r>
    </w:p>
    <w:p>
      <w:pPr>
        <w:numPr>
          <w:ilvl w:val="1"/>
          <w:numId w:val="1014"/>
        </w:numPr>
        <w:pStyle w:val="Compact"/>
      </w:pPr>
      <w:r>
        <w:rPr>
          <w:bCs/>
          <w:b/>
        </w:rPr>
        <w:t xml:space="preserve">Impact of Circular Programs:</w:t>
      </w:r>
      <w:r>
        <w:t xml:space="preserve"> </w:t>
      </w:r>
      <w:r>
        <w:t xml:space="preserve">The presence of an established take-back scheme (quzqlpofdv = \'Yes\') further optimizes resource recovery. This is conservatively modeled as an additional 5% reduction in the net EoL impact.</w:t>
      </w:r>
    </w:p>
    <w:p>
      <w:pPr>
        <w:numPr>
          <w:ilvl w:val="2"/>
          <w:numId w:val="1015"/>
        </w:numPr>
        <w:pStyle w:val="Compact"/>
      </w:pPr>
      <w:r>
        <w:t xml:space="preserve">Net EoL before circular programs: 0.0765 kgCO2e - 0.476 kgCO2e = -0.3995 kgCO2e</w:t>
      </w:r>
    </w:p>
    <w:p>
      <w:pPr>
        <w:numPr>
          <w:ilvl w:val="2"/>
          <w:numId w:val="1015"/>
        </w:numPr>
        <w:pStyle w:val="Compact"/>
      </w:pPr>
      <w:r>
        <w:t xml:space="preserve">Adjusted Net EoL (with circular programs): -0.3995 kgCO2e * (1 - 0.05) = -0.379525 kgCO2e (rounded to -0.38 kgCO2e for reporting clarity).</w:t>
      </w:r>
    </w:p>
    <w:p>
      <w:pPr>
        <w:numPr>
          <w:ilvl w:val="1"/>
          <w:numId w:val="1014"/>
        </w:numPr>
        <w:pStyle w:val="Compact"/>
      </w:pPr>
      <w:r>
        <w:rPr>
          <w:bCs/>
          <w:b/>
        </w:rPr>
        <w:t xml:space="preserve">Total EoL Emissions:</w:t>
      </w:r>
      <w:r>
        <w:t xml:space="preserve"> </w:t>
      </w:r>
      <w:r>
        <w:t xml:space="preserve">-0.38 kgCO2e</w:t>
      </w:r>
    </w:p>
    <w:p>
      <w:pPr>
        <w:numPr>
          <w:ilvl w:val="0"/>
          <w:numId w:val="1011"/>
        </w:numPr>
        <w:pStyle w:val="Compact"/>
      </w:pPr>
      <w:r>
        <w:rPr>
          <w:bCs/>
          <w:b/>
        </w:rPr>
        <w:t xml:space="preserve">Total Downstream Scope 3 Emissions:</w:t>
      </w:r>
      <w:r>
        <w:t xml:space="preserve"> </w:t>
      </w:r>
      <w:r>
        <w:t xml:space="preserve">1.50 kgCO2e + 40.00 kgCO2e - 0.38 kgCO2e = 41.12 kgCO2e</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Scope</w:t>
            </w:r>
          </w:p>
        </w:tc>
        <w:tc>
          <w:tcPr/>
          <w:p>
            <w:pPr>
              <w:pStyle w:val="Compact"/>
              <w:jc w:val="left"/>
            </w:pPr>
            <w:r>
              <w:t xml:space="preserve">Calculated Emissions (kgCO2e per unit)</w:t>
            </w:r>
          </w:p>
        </w:tc>
      </w:tr>
      <w:tr>
        <w:tc>
          <w:tcPr/>
          <w:p>
            <w:pPr>
              <w:pStyle w:val="Compact"/>
              <w:jc w:val="left"/>
            </w:pPr>
            <w:r>
              <w:t xml:space="preserve">Direct Emissions (On-site)</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4.33</w:t>
            </w:r>
          </w:p>
        </w:tc>
      </w:tr>
      <w:tr>
        <w:tc>
          <w:tcPr/>
          <w:p>
            <w:pPr>
              <w:pStyle w:val="Compact"/>
              <w:jc w:val="left"/>
            </w:pPr>
            <w:r>
              <w:t xml:space="preserve">Materials (Upstream)</w:t>
            </w:r>
          </w:p>
        </w:tc>
        <w:tc>
          <w:tcPr/>
          <w:p>
            <w:pPr>
              <w:pStyle w:val="Compact"/>
              <w:jc w:val="left"/>
            </w:pPr>
            <w:r>
              <w:t xml:space="preserve">Scope 3 (Cat. 1)</w:t>
            </w:r>
          </w:p>
        </w:tc>
        <w:tc>
          <w:tcPr/>
          <w:p>
            <w:pPr>
              <w:pStyle w:val="Compact"/>
              <w:jc w:val="left"/>
            </w:pPr>
            <w:r>
              <w:t xml:space="preserve">5.25</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0.50</w:t>
            </w:r>
          </w:p>
        </w:tc>
      </w:tr>
      <w:tr>
        <w:tc>
          <w:tcPr/>
          <w:p>
            <w:pPr>
              <w:pStyle w:val="Compact"/>
              <w:jc w:val="left"/>
            </w:pPr>
            <w:r>
              <w:t xml:space="preserve">Downstream Transport (Product)</w:t>
            </w:r>
          </w:p>
        </w:tc>
        <w:tc>
          <w:tcPr/>
          <w:p>
            <w:pPr>
              <w:pStyle w:val="Compact"/>
              <w:jc w:val="left"/>
            </w:pPr>
            <w:r>
              <w:t xml:space="preserve">Scope 3 (Cat. 9)</w:t>
            </w:r>
          </w:p>
        </w:tc>
        <w:tc>
          <w:tcPr/>
          <w:p>
            <w:pPr>
              <w:pStyle w:val="Compact"/>
              <w:jc w:val="left"/>
            </w:pPr>
            <w:r>
              <w:t xml:space="preserve">1.50</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51.20</w:t>
            </w:r>
          </w:p>
        </w:tc>
      </w:tr>
    </w:tbl>
    <w:p>
      <w:pPr>
        <w:pStyle w:val="BodyText"/>
      </w:pPr>
      <w:r>
        <w:rPr>
          <w:iCs/>
          <w:i/>
        </w:rPr>
        <w:t xml:space="preserve">Note: Minor discrepancies in total sum due to rounding of individual values in the table. The precise total is 51.178 kgCO2e.</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The primary carbon hotspots for uxvsxnwgur are identified as:</w:t>
      </w:r>
    </w:p>
    <w:p>
      <w:pPr>
        <w:numPr>
          <w:ilvl w:val="0"/>
          <w:numId w:val="1016"/>
        </w:numPr>
        <w:pStyle w:val="Compact"/>
      </w:pPr>
      <w:r>
        <w:rPr>
          <w:bCs/>
          <w:b/>
        </w:rPr>
        <w:t xml:space="preserve">Use Phase (40.00 kgCO2e, ~78% of total PCF):</w:t>
      </w:r>
      <w:r>
        <w:t xml:space="preserve"> </w:t>
      </w:r>
      <w:r>
        <w:t xml:space="preserve">This is overwhelmingly the largest contributor, driven by the product\'s energy consumption over its 5-year lifespan. This highlights the critical importance of energy efficiency during the product design and user behavior.</w:t>
      </w:r>
    </w:p>
    <w:p>
      <w:pPr>
        <w:numPr>
          <w:ilvl w:val="0"/>
          <w:numId w:val="1016"/>
        </w:numPr>
        <w:pStyle w:val="Compact"/>
      </w:pPr>
      <w:r>
        <w:rPr>
          <w:bCs/>
          <w:b/>
        </w:rPr>
        <w:t xml:space="preserve">Materials (5.25 kgCO2e, ~10% of total PCF):</w:t>
      </w:r>
      <w:r>
        <w:t xml:space="preserve"> </w:t>
      </w:r>
      <w:r>
        <w:t xml:space="preserve">The production of raw materials, particularly aluminum and electronic components, contributes significantly. This underscores the need for sustainable sourcing and material selection.</w:t>
      </w:r>
    </w:p>
    <w:p>
      <w:pPr>
        <w:numPr>
          <w:ilvl w:val="0"/>
          <w:numId w:val="1016"/>
        </w:numPr>
        <w:pStyle w:val="Compact"/>
      </w:pPr>
      <w:r>
        <w:rPr>
          <w:bCs/>
          <w:b/>
        </w:rPr>
        <w:t xml:space="preserve">Manufacturing Energy (4.33 kgCO2e, ~8% of total PCF):</w:t>
      </w:r>
      <w:r>
        <w:t xml:space="preserve"> </w:t>
      </w:r>
      <w:r>
        <w:t xml:space="preserve">While 50% renewable energy is used, the remaining non-renewable portion of electricity from the Chinese grid still represents a notable impact.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primary data (BOM, energy intensity, lifespan). However, certain limitations exist:</w:t>
      </w:r>
    </w:p>
    <w:p>
      <w:pPr>
        <w:numPr>
          <w:ilvl w:val="0"/>
          <w:numId w:val="1017"/>
        </w:numPr>
        <w:pStyle w:val="Compact"/>
      </w:pPr>
      <w:r>
        <w:rPr>
          <w:bCs/>
          <w:b/>
        </w:rPr>
        <w:t xml:space="preserve">Assumed Data:</w:t>
      </w:r>
      <w:r>
        <w:t xml:space="preserve"> </w:t>
      </w:r>
      <w:r>
        <w:t xml:space="preserve">Specific placeholders for transport distance, modes, and certain end-of-life scenarios required reasonable assumptions and illustrative values, as actual detailed operational data was not provided.</w:t>
      </w:r>
    </w:p>
    <w:p>
      <w:pPr>
        <w:numPr>
          <w:ilvl w:val="0"/>
          <w:numId w:val="1017"/>
        </w:numPr>
        <w:pStyle w:val="Compact"/>
      </w:pPr>
      <w:r>
        <w:rPr>
          <w:bCs/>
          <w:b/>
        </w:rPr>
        <w:t xml:space="preserve">Emission Factors:</w:t>
      </w:r>
      <w:r>
        <w:t xml:space="preserve"> </w:t>
      </w:r>
      <w:r>
        <w:t xml:space="preserve">While industry-standard emission factors were used from reputable sources (e.g., China grid EF from MEE/IEA, landfill EF from EPA/JASPERS, recycling credit based on EPA WARM principles), these are averages and may not perfectly reflect specific supplier or regional nuances.</w:t>
      </w:r>
    </w:p>
    <w:p>
      <w:pPr>
        <w:numPr>
          <w:ilvl w:val="0"/>
          <w:numId w:val="1017"/>
        </w:numPr>
        <w:pStyle w:val="Compact"/>
      </w:pPr>
      <w:r>
        <w:rPr>
          <w:bCs/>
          <w:b/>
        </w:rPr>
        <w:t xml:space="preserve">Scope 3 Coverage:</w:t>
      </w:r>
      <w:r>
        <w:t xml:space="preserve"> </w:t>
      </w:r>
      <w:r>
        <w:t xml:space="preserve">While significant effort was made to achieve &gt;95% Scope 3 coverage, some minor categories not explicitly defined in the provided parameters (e.g., capital goods, employee commuting, business travel) are assumed to be outside the immediate scope of this product-level analysis or negligible.</w:t>
      </w:r>
    </w:p>
    <w:p>
      <w:pPr>
        <w:numPr>
          <w:ilvl w:val="0"/>
          <w:numId w:val="1017"/>
        </w:numPr>
        <w:pStyle w:val="Compact"/>
      </w:pPr>
      <w:r>
        <w:rPr>
          <w:bCs/>
          <w:b/>
        </w:rPr>
        <w:t xml:space="preserve">2026 LSR Standard:</w:t>
      </w:r>
      <w:r>
        <w:t xml:space="preserve"> </w:t>
      </w:r>
      <w:r>
        <w:t xml:space="preserve">The application of the LSR Standard is acknowledged, but specific land-use change data for every raw material in the supply chain was beyond the scope of this general report. Further detailed analysis would be required for full compliance with this evolving standard.</w:t>
      </w:r>
    </w:p>
    <w:bookmarkEnd w:id="43"/>
    <w:bookmarkStart w:id="44" w:name="recommendations-for-reduction"/>
    <w:p>
      <w:pPr>
        <w:pStyle w:val="Heading3"/>
      </w:pPr>
      <w:r>
        <w:t xml:space="preserve">5.3 Recommendations for Reduction</w:t>
      </w:r>
    </w:p>
    <w:p>
      <w:pPr>
        <w:pStyle w:val="FirstParagraph"/>
      </w:pPr>
      <w:r>
        <w:t xml:space="preserve">Based on this PCF analysis, lwgrgkyljh can focus on the following strategic areas to reduce the carbon footprint of uxvsxnwgur:</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lifespan. Provide users with guidance on energy-efficient usage.</w:t>
      </w:r>
    </w:p>
    <w:p>
      <w:pPr>
        <w:numPr>
          <w:ilvl w:val="0"/>
          <w:numId w:val="1018"/>
        </w:numPr>
        <w:pStyle w:val="Compact"/>
      </w:pPr>
      <w:r>
        <w:rPr>
          <w:bCs/>
          <w:b/>
        </w:rPr>
        <w:t xml:space="preserve">Increase Renewable Energy Sourcing:</w:t>
      </w:r>
      <w:r>
        <w:t xml:space="preserve"> </w:t>
      </w:r>
      <w:r>
        <w:t xml:space="preserve">Explore options to further increase the percentage of renewable energy used in the manufacturing facilities, particularly in China, beyond the current 50%. This could include on-site generation or power purchase agreements (PPAs) for certified renewable energy.</w:t>
      </w:r>
    </w:p>
    <w:p>
      <w:pPr>
        <w:numPr>
          <w:ilvl w:val="0"/>
          <w:numId w:val="1018"/>
        </w:numPr>
        <w:pStyle w:val="Compact"/>
      </w:pPr>
      <w:r>
        <w:rPr>
          <w:bCs/>
          <w:b/>
        </w:rPr>
        <w:t xml:space="preserve">Sustainable Material Innovation:</w:t>
      </w:r>
      <w:r>
        <w:t xml:space="preserve"> </w:t>
      </w:r>
      <w:r>
        <w:t xml:space="preserve">Continue to investigate and integrate lower-carbon alternative materials and designs, focusing on components with high inherent carbon footprints like aluminum and PCBs. Optimize material usage to reduce overall mass.</w:t>
      </w:r>
    </w:p>
    <w:p>
      <w:pPr>
        <w:numPr>
          <w:ilvl w:val="0"/>
          <w:numId w:val="1018"/>
        </w:numPr>
        <w:pStyle w:val="Compact"/>
      </w:pPr>
      <w:r>
        <w:rPr>
          <w:bCs/>
          <w:b/>
        </w:rPr>
        <w:t xml:space="preserve">Optimize Logistics:</w:t>
      </w:r>
      <w:r>
        <w:t xml:space="preserve"> </w:t>
      </w:r>
      <w:r>
        <w:t xml:space="preserve">Investigate opportunities to optimize transport routes, modes, and load factors for both upstream and downstream logistics, especially with the Europe-focused supply chain. Consider shifting to lower-emission freight options where feasible.</w:t>
      </w:r>
    </w:p>
    <w:p>
      <w:pPr>
        <w:numPr>
          <w:ilvl w:val="0"/>
          <w:numId w:val="1018"/>
        </w:numPr>
        <w:pStyle w:val="Compact"/>
      </w:pPr>
      <w:r>
        <w:rPr>
          <w:bCs/>
          <w:b/>
        </w:rPr>
        <w:t xml:space="preserve">Strengthen Circularity:</w:t>
      </w:r>
      <w:r>
        <w:t xml:space="preserve"> </w:t>
      </w:r>
      <w:r>
        <w:t xml:space="preserve">Leverage the existing take-back program to maximize actual recycling and reuse rates, potentially exploring closed-loop systems for key materials to further increase avoided emissions at End-of-Life.</w:t>
      </w:r>
    </w:p>
    <w:p>
      <w:r>
        <w:pict>
          <v:rect style="width:0;height:1.5pt" o:hralign="center" o:hrstd="t" o:hr="t"/>
        </w:pict>
      </w:r>
    </w:p>
    <w:p>
      <w:pPr>
        <w:pStyle w:val="FirstParagraph"/>
      </w:pPr>
      <w:r>
        <w:t xml:space="preserve">Confidential - Internal Use Only</w:t>
      </w:r>
    </w:p>
    <w:p>
      <w:pPr>
        <w:pStyle w:val="BodyText"/>
      </w:pPr>
      <w:r>
        <w:t xml:space="preserve">© 2026 lwgrgkyljh.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uxvsxnwgur</dc:title>
  <dc:creator/>
  <dc:description>High-detail Product Carbon Footprint (PCF) analysis for uxvsxnwgur, performed by eepdehhrqp, Senior Sustainability Consultant at lwgrgkyljh, adhering to GHG Protocol and 2026 LSR Update.</dc:description>
  <dc:language>en</dc:language>
  <cp:keywords/>
  <dcterms:created xsi:type="dcterms:W3CDTF">2026-07-15T13:35:46Z</dcterms:created>
  <dcterms:modified xsi:type="dcterms:W3CDTF">2026-07-15T13:35:46Z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