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uqwzuwhdlg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uqwzuwhdlg</w:t>
      </w:r>
    </w:p>
    <w:p>
      <w:pPr>
        <w:pStyle w:val="BodyText"/>
      </w:pPr>
      <w:r>
        <w:rPr>
          <w:bCs/>
          <w:b/>
        </w:rPr>
        <w:t xml:space="preserve">Company:</w:t>
      </w:r>
      <w:r>
        <w:t xml:space="preserve"> </w:t>
      </w:r>
      <w:r>
        <w:t xml:space="preserve">kmyrjpyvjo</w:t>
      </w:r>
    </w:p>
    <w:p>
      <w:pPr>
        <w:pStyle w:val="BodyText"/>
      </w:pPr>
      <w:r>
        <w:rPr>
          <w:bCs/>
          <w:b/>
        </w:rPr>
        <w:t xml:space="preserve">Senior Sustainability Consultant:</w:t>
      </w:r>
      <w:r>
        <w:t xml:space="preserve"> </w:t>
      </w:r>
      <w:r>
        <w:t xml:space="preserve">nyefztwhmq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presented herein are illustrative, using example data for certain parameters where specific numerical values were provided as placeholders.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uqwzuwhdlg</w:t>
      </w:r>
    </w:p>
    <w:p>
      <w:pPr>
        <w:pStyle w:val="BodyText"/>
      </w:pPr>
      <w:r>
        <w:rPr>
          <w:bCs/>
          <w:b/>
        </w:rPr>
        <w:t xml:space="preserve">Generated Date:</w:t>
      </w:r>
      <w:r>
        <w:t xml:space="preserve"> </w:t>
      </w:r>
      <w:r>
        <w:t xml:space="preserve">May 21, 2026</w:t>
      </w:r>
    </w:p>
    <w:p>
      <w:pPr>
        <w:pStyle w:val="BodyText"/>
      </w:pPr>
      <w:r>
        <w:rPr>
          <w:bCs/>
          <w:b/>
        </w:rPr>
        <w:t xml:space="preserve">Company:</w:t>
      </w:r>
      <w:r>
        <w:t xml:space="preserve"> </w:t>
      </w:r>
      <w:r>
        <w:t xml:space="preserve">kmyrjpyvjo</w:t>
      </w:r>
    </w:p>
    <w:p>
      <w:pPr>
        <w:pStyle w:val="BodyText"/>
      </w:pPr>
      <w:r>
        <w:rPr>
          <w:bCs/>
          <w:b/>
        </w:rPr>
        <w:t xml:space="preserve">Senior Sustainability Consultant:</w:t>
      </w:r>
      <w:r>
        <w:t xml:space="preserve"> </w:t>
      </w:r>
      <w:r>
        <w:t xml:space="preserve">nyefztwhmq</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high-detail Product Carbon Footprint (PCF) analysis for \'uqwzuwhdlg\', commissioned by \'kmyrjpyvjo\', provides a comprehensive assessment of greenhouse gas (GHG) emissions across its lifecycle. Conducted by Senior Sustainability Consultant \'nyefztwhmq\', the analysis strictly adheres to the GHG Protocol Product Standard, incorporating the latest 2026 Land Sector and Removals (LSR) Standard updates and stringent Scope 3 compliance requirements. The report quantifies emissions from raw material acquisition, manufacturing, transportation, product use, and end-of-life treatment, identifying key emission hotspots and offering recommendations for reduction.</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first step in any robust Product Carbon Footprint analysis involves clearly defining the parameters of the study to ensure accuracy, relevance, and consistency.</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\'uqwzuwhdlg\'. This provides a standardized reference basis for quantifying and comparing emissions.</w:t>
      </w:r>
    </w:p>
    <w:p>
      <w:pPr>
        <w:numPr>
          <w:ilvl w:val="0"/>
          <w:numId w:val="1001"/>
        </w:numPr>
        <w:pStyle w:val="Compact"/>
      </w:pPr>
      <w:r>
        <w:rPr>
          <w:bCs/>
          <w:b/>
        </w:rPr>
        <w:t xml:space="preserve">System Boundary:</w:t>
      </w:r>
      <w:r>
        <w:t xml:space="preserve"> </w:t>
      </w:r>
      <w:r>
        <w:t xml:space="preserve">The declared system boundary for this PCF is</w:t>
      </w:r>
      <w:r>
        <w:t xml:space="preserve"> </w:t>
      </w:r>
      <w:r>
        <w:rPr>
          <w:bCs/>
          <w:b/>
        </w:rPr>
        <w:t xml:space="preserve">"factory_gate"</w:t>
      </w:r>
      <w:r>
        <w:t xml:space="preserve">. This typically encompasses emissions from raw material acquisition, pre-processing, and manufacturing up to the point where the product leaves the factory gate. However, per the detailed requirements, this analysis extends to a "cradle-to-grave" approach by incorporating downstream impacts such as transportation, use phase, and end-of-life treatment to provide a comprehensive view of the product\'s total lifecycle impact, categorizing these downstream emissions predominantly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Product Carbon Footprint analysis is conducted in full accordance with the</w:t>
      </w:r>
      <w:r>
        <w:t xml:space="preserve"> </w:t>
      </w:r>
      <w:r>
        <w:rPr>
          <w:bCs/>
          <w:b/>
        </w:rPr>
        <w:t xml:space="preserve">GHG Protocol</w:t>
      </w:r>
      <w:r>
        <w:t xml:space="preserve">, specifically referencing the GHG Protocol Product Standard. The GHG Protocol is the most widely used international accounting tool for understanding, quantifying, and managing greenhouse gas emissions.</w:t>
      </w:r>
    </w:p>
    <w:p>
      <w:pPr>
        <w:numPr>
          <w:ilvl w:val="0"/>
          <w:numId w:val="1001"/>
        </w:numPr>
        <w:pStyle w:val="Compact"/>
      </w:pPr>
      <w:r>
        <w:rPr>
          <w:bCs/>
          <w:b/>
        </w:rPr>
        <w:t xml:space="preserve">Allocation:</w:t>
      </w:r>
      <w:r>
        <w:t xml:space="preserve"> </w:t>
      </w:r>
      <w:r>
        <w:t xml:space="preserve">Emissions are allocated based on physical causality where possible. In cases of co-products or shared processes, allocation is determined by relevant physical relationships (e.g., mass, energy content) as per GHG Protocol guidance, ensuring no double-counting between scopes.</w:t>
      </w:r>
    </w:p>
    <w:p>
      <w:r>
        <w:pict>
          <v:rect style="width:0;height:1.5pt" o:hralign="center" o:hrstd="t" o:hr="t"/>
        </w:pict>
      </w:r>
    </w:p>
    <w:bookmarkEnd w:id="23"/>
    <w:bookmarkStart w:id="29" w:name="mapping-the-lifecycle-3.-data-collection"/>
    <w:p>
      <w:pPr>
        <w:pStyle w:val="Heading2"/>
      </w:pPr>
      <w:r>
        <w:t xml:space="preserve">2. Mapping the Lifecycle &amp; 3. Data Collection</w:t>
      </w:r>
    </w:p>
    <w:p>
      <w:pPr>
        <w:pStyle w:val="FirstParagraph"/>
      </w:pPr>
      <w:r>
        <w:t xml:space="preserve">The lifecycle of \'uqwzuwhdlg\' is mapped across key stages, from raw material sourcing to end-of-life. Data for each stage is meticulously collected, prioritizing primary data where available and supplementing with high-quality secondary data from recognized industry sources like Ecoinvent and DEFRA for emission factors. The principle of activity data multiplied by emission factor (Activity * Emission Factor = CO2e) is applied across all calculations.</w:t>
      </w:r>
    </w:p>
    <w:bookmarkStart w:id="24" w:name="detailed-bill-of-materials-bom"/>
    <w:p>
      <w:pPr>
        <w:pStyle w:val="Heading3"/>
      </w:pPr>
      <w:r>
        <w:t xml:space="preserve">Detailed Bill of Materials (BOM)</w:t>
      </w:r>
    </w:p>
    <w:p>
      <w:pPr>
        <w:pStyle w:val="FirstParagraph"/>
      </w:pPr>
      <w:r>
        <w:t xml:space="preserve">The following detailed Bill of Materials (BOM) for \'uqwzuwhdlg\' has been used for high-accuracy material impact calculations. For illustrative purposes, example data following the specified format is used:</w:t>
      </w:r>
    </w:p>
    <w:p>
      <w:pPr>
        <w:pStyle w:val="SourceCode"/>
      </w:pPr>
      <w:r>
        <w:rPr>
          <w:rStyle w:val="VerbatimChar"/>
        </w:rPr>
        <w:t xml:space="preserve">1,Aluminum Housing,Metal,Casting,0.5,kg,7.0,3.5</w:t>
      </w:r>
      <w:r>
        <w:br/>
      </w:r>
      <w:r>
        <w:rPr>
          <w:rStyle w:val="VerbatimChar"/>
        </w:rPr>
        <w:t xml:space="preserve">2,Plastic Casing,Plastic,Injection Molding,0.3,kg,2.5,0.75</w:t>
      </w:r>
      <w:r>
        <w:br/>
      </w:r>
      <w:r>
        <w:rPr>
          <w:rStyle w:val="VerbatimChar"/>
        </w:rPr>
        <w:t xml:space="preserve">3,Circuit Board,Electronics,Assembly,0.1,unit,10.0,1.0</w:t>
      </w:r>
      <w:r>
        <w:br/>
      </w:r>
      <w:r>
        <w:rPr>
          <w:rStyle w:val="VerbatimChar"/>
        </w:rPr>
        <w:t xml:space="preserve">4,Packaging (Cardboard),Paper,Cutting,0.2,kg,0.8,0.16</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Emissions:</w:t>
            </w:r>
          </w:p>
        </w:tc>
        <w:tc>
          <w:tcPr/>
          <w:p>
            <w:pPr>
              <w:pStyle w:val="Compact"/>
              <w:jc w:val="left"/>
            </w:pPr>
            <w:r>
              <w:rPr>
                <w:bCs/>
                <w:b/>
              </w:rPr>
              <w:t xml:space="preserve">5.41 kg CO2e</w:t>
            </w:r>
          </w:p>
        </w:tc>
      </w:tr>
    </w:tbl>
    <w:bookmarkEnd w:id="24"/>
    <w:bookmarkStart w:id="25" w:name="energy-inputs-production-phase"/>
    <w:p>
      <w:pPr>
        <w:pStyle w:val="Heading3"/>
      </w:pPr>
      <w:r>
        <w:t xml:space="preserve">Energy Inputs (Production Phase)</w:t>
      </w:r>
    </w:p>
    <w:p>
      <w:pPr>
        <w:pStyle w:val="FirstParagraph"/>
      </w:pPr>
      <w:r>
        <w:t xml:space="preserve">The production phase for \'uqwzuwhdlg\' is situated in China. The following energy customization data is applied:</w:t>
      </w:r>
    </w:p>
    <w:p>
      <w:pPr>
        <w:numPr>
          <w:ilvl w:val="0"/>
          <w:numId w:val="1003"/>
        </w:numPr>
        <w:pStyle w:val="Compact"/>
      </w:pPr>
      <w:r>
        <w:rPr>
          <w:bCs/>
          <w:b/>
        </w:rPr>
        <w:t xml:space="preserve">Renewable Energy Usage:</w:t>
      </w:r>
      <w:r>
        <w:t xml:space="preserve"> </w:t>
      </w:r>
      <w:r>
        <w:t xml:space="preserve">uxdzfmptzw (e.g., 50%)</w:t>
      </w:r>
    </w:p>
    <w:p>
      <w:pPr>
        <w:numPr>
          <w:ilvl w:val="0"/>
          <w:numId w:val="1003"/>
        </w:numPr>
        <w:pStyle w:val="Compact"/>
      </w:pPr>
      <w:r>
        <w:rPr>
          <w:bCs/>
          <w:b/>
        </w:rPr>
        <w:t xml:space="preserve">Energy Intensity (kWh/unit):</w:t>
      </w:r>
      <w:r>
        <w:t xml:space="preserve"> </w:t>
      </w:r>
      <w:r>
        <w:t xml:space="preserve">onuunvwjiv (e.g., 10 kWh/unit)</w:t>
      </w:r>
    </w:p>
    <w:p>
      <w:pPr>
        <w:pStyle w:val="FirstParagraph"/>
      </w:pPr>
      <w:r>
        <w:t xml:space="preserve">For calculation, an illustrative grid emission factor for China is assumed to be 0.7 kg CO2e/kWh, acknowledging that regional and temporal variations exist. The specified renewable energy usage directly impacts the net grid electricity consumption.</w:t>
      </w:r>
    </w:p>
    <w:bookmarkEnd w:id="25"/>
    <w:bookmarkStart w:id="26" w:name="transport-logistics"/>
    <w:p>
      <w:pPr>
        <w:pStyle w:val="Heading3"/>
      </w:pPr>
      <w:r>
        <w:t xml:space="preserve">Transport Logistics</w:t>
      </w:r>
    </w:p>
    <w:p>
      <w:pPr>
        <w:pStyle w:val="FirstParagraph"/>
      </w:pPr>
      <w:r>
        <w:t xml:space="preserve">Logistics data for both upstream (raw material delivery to factory gate) and downstream (product delivery from factory) is incorporated:</w:t>
      </w:r>
    </w:p>
    <w:p>
      <w:pPr>
        <w:numPr>
          <w:ilvl w:val="0"/>
          <w:numId w:val="1004"/>
        </w:numPr>
        <w:pStyle w:val="Compact"/>
      </w:pPr>
      <w:r>
        <w:rPr>
          <w:bCs/>
          <w:b/>
        </w:rPr>
        <w:t xml:space="preserve">Transport Mode (Upstream):</w:t>
      </w:r>
      <w:r>
        <w:t xml:space="preserve"> </w:t>
      </w:r>
      <w:r>
        <w:t xml:space="preserve">Select Mode (e.g., Road Freight - Heavy Goods Vehicle (HGV &gt; 20t))</w:t>
      </w:r>
    </w:p>
    <w:p>
      <w:pPr>
        <w:numPr>
          <w:ilvl w:val="0"/>
          <w:numId w:val="1004"/>
        </w:numPr>
        <w:pStyle w:val="Compact"/>
      </w:pPr>
      <w:r>
        <w:rPr>
          <w:bCs/>
          <w:b/>
        </w:rPr>
        <w:t xml:space="preserve">Transport Distance (Upstream):</w:t>
      </w:r>
      <w:r>
        <w:t xml:space="preserve"> </w:t>
      </w:r>
      <w:r>
        <w:t xml:space="preserve">vjvujelsvz (e.g., 1500 km - Europe Focused Supply Chain)</w:t>
      </w:r>
    </w:p>
    <w:p>
      <w:pPr>
        <w:numPr>
          <w:ilvl w:val="0"/>
          <w:numId w:val="1004"/>
        </w:numPr>
        <w:pStyle w:val="Compact"/>
      </w:pPr>
      <w:r>
        <w:rPr>
          <w:bCs/>
          <w:b/>
        </w:rPr>
        <w:t xml:space="preserve">Last-Mile Delivery Channel (Downstream):</w:t>
      </w:r>
      <w:r>
        <w:t xml:space="preserve"> </w:t>
      </w:r>
      <w:r>
        <w:t xml:space="preserve">Delivery Type (e.g., Courier Van - Diesel, Class I)</w:t>
      </w:r>
    </w:p>
    <w:p>
      <w:pPr>
        <w:pStyle w:val="FirstParagraph"/>
      </w:pPr>
      <w:r>
        <w:t xml:space="preserve">Illustrative emission factors used are 0.092 kg CO2e/tonne-km for HGV (Europe) and 0.14189 kg CO2e/km for a Diesel Courier Van.</w:t>
      </w:r>
    </w:p>
    <w:bookmarkEnd w:id="26"/>
    <w:bookmarkStart w:id="27" w:name="product-use-phase"/>
    <w:p>
      <w:pPr>
        <w:pStyle w:val="Heading3"/>
      </w:pPr>
      <w:r>
        <w:t xml:space="preserve">Product Use Phase</w:t>
      </w:r>
    </w:p>
    <w:p>
      <w:pPr>
        <w:pStyle w:val="FirstParagraph"/>
      </w:pPr>
      <w:r>
        <w:t xml:space="preserve">The use phase incorporates specific durability and consumption data for \'uqwzuwhdlg\':</w:t>
      </w:r>
    </w:p>
    <w:p>
      <w:pPr>
        <w:numPr>
          <w:ilvl w:val="0"/>
          <w:numId w:val="1005"/>
        </w:numPr>
        <w:pStyle w:val="Compact"/>
      </w:pPr>
      <w:r>
        <w:rPr>
          <w:bCs/>
          <w:b/>
        </w:rPr>
        <w:t xml:space="preserve">Product Lifespan:</w:t>
      </w:r>
      <w:r>
        <w:t xml:space="preserve"> </w:t>
      </w:r>
      <w:r>
        <w:t xml:space="preserve">htxotkogml (e.g., 5 years)</w:t>
      </w:r>
    </w:p>
    <w:p>
      <w:pPr>
        <w:numPr>
          <w:ilvl w:val="0"/>
          <w:numId w:val="1005"/>
        </w:numPr>
        <w:pStyle w:val="Compact"/>
      </w:pPr>
      <w:r>
        <w:rPr>
          <w:bCs/>
          <w:b/>
        </w:rPr>
        <w:t xml:space="preserve">Energy Consumption in Use:</w:t>
      </w:r>
      <w:r>
        <w:t xml:space="preserve"> </w:t>
      </w:r>
      <w:r>
        <w:t xml:space="preserve">wvupwlzsrf (e.g., 20 kWh/year)</w:t>
      </w:r>
    </w:p>
    <w:p>
      <w:pPr>
        <w:pStyle w:val="FirstParagraph"/>
      </w:pPr>
      <w:r>
        <w:t xml:space="preserve">Emissions from the use phase are calculated using the product\'s energy consumption over its lifespan and the end-user\'s electricity grid emission factor (assuming a mix of European grids for a European-focused supply chain, or a general grid average if not specified).</w:t>
      </w:r>
    </w:p>
    <w:bookmarkEnd w:id="27"/>
    <w:bookmarkStart w:id="28" w:name="end-of-life-eol-scenarios"/>
    <w:p>
      <w:pPr>
        <w:pStyle w:val="Heading3"/>
      </w:pPr>
      <w:r>
        <w:t xml:space="preserve">End-of-Life (EoL) Scenarios</w:t>
      </w:r>
    </w:p>
    <w:p>
      <w:pPr>
        <w:pStyle w:val="FirstParagraph"/>
      </w:pPr>
      <w:r>
        <w:t xml:space="preserve">Circular economy impacts are integrated through specific end-of-life scenarios:</w:t>
      </w:r>
    </w:p>
    <w:p>
      <w:pPr>
        <w:numPr>
          <w:ilvl w:val="0"/>
          <w:numId w:val="1006"/>
        </w:numPr>
        <w:pStyle w:val="Compact"/>
      </w:pPr>
      <w:r>
        <w:rPr>
          <w:bCs/>
          <w:b/>
        </w:rPr>
        <w:t xml:space="preserve">Recyclability Percentage:</w:t>
      </w:r>
      <w:r>
        <w:t xml:space="preserve"> </w:t>
      </w:r>
      <w:r>
        <w:t xml:space="preserve">lrfuzphwui (e.g., 80%)</w:t>
      </w:r>
    </w:p>
    <w:p>
      <w:pPr>
        <w:numPr>
          <w:ilvl w:val="0"/>
          <w:numId w:val="1006"/>
        </w:numPr>
        <w:pStyle w:val="Compact"/>
      </w:pPr>
      <w:r>
        <w:rPr>
          <w:bCs/>
          <w:b/>
        </w:rPr>
        <w:t xml:space="preserve">Circular/Take-back Programs:</w:t>
      </w:r>
      <w:r>
        <w:t xml:space="preserve"> </w:t>
      </w:r>
      <w:r>
        <w:t xml:space="preserve">pfuvsfkote (e.g., Company-sponsored take-back program active)</w:t>
      </w:r>
    </w:p>
    <w:p>
      <w:pPr>
        <w:pStyle w:val="FirstParagraph"/>
      </w:pPr>
      <w:r>
        <w:t xml:space="preserve">The recyclability percentage influences the emissions from disposal (landfill) versus recycling, with recycling often leading to avoided emissions from virgin material production, although it incurs its own processing emissions.</w:t>
      </w:r>
    </w:p>
    <w:p>
      <w:r>
        <w:pict>
          <v:rect style="width:0;height:1.5pt" o:hralign="center" o:hrstd="t" o:hr="t"/>
        </w:pict>
      </w:r>
    </w:p>
    <w:bookmarkEnd w:id="28"/>
    <w:bookmarkEnd w:id="29"/>
    <w:bookmarkStart w:id="40" w:name="calculating-emissions"/>
    <w:p>
      <w:pPr>
        <w:pStyle w:val="Heading2"/>
      </w:pPr>
      <w:r>
        <w:t xml:space="preserve">4. Calculating Emissions</w:t>
      </w:r>
    </w:p>
    <w:p>
      <w:pPr>
        <w:pStyle w:val="FirstParagraph"/>
      </w:pPr>
      <w:r>
        <w:t xml:space="preserve">Emissions are calculated using the formula:</w:t>
      </w:r>
      <w:r>
        <w:t xml:space="preserve"> </w:t>
      </w:r>
      <w:r>
        <w:rPr>
          <w:iCs/>
          <w:i/>
        </w:rPr>
        <w:t xml:space="preserve">Activity Data × Emission Factor = CO2e</w:t>
      </w:r>
      <w:r>
        <w:t xml:space="preserve">. All emissions are categorized according to the GHG Protocol\'s three scopes.</w:t>
      </w:r>
    </w:p>
    <w:bookmarkStart w:id="30" w:name="X58ee1f826efca60e8ec858aaebf335dd758b685"/>
    <w:p>
      <w:pPr>
        <w:pStyle w:val="Heading3"/>
      </w:pPr>
      <w:r>
        <w:t xml:space="preserve">Illustrative Emission Factors (from Ecoinvent/DEFRA equivalents)</w:t>
      </w:r>
    </w:p>
    <w:p>
      <w:pPr>
        <w:numPr>
          <w:ilvl w:val="0"/>
          <w:numId w:val="1007"/>
        </w:numPr>
        <w:pStyle w:val="Compact"/>
      </w:pPr>
      <w:r>
        <w:rPr>
          <w:bCs/>
          <w:b/>
        </w:rPr>
        <w:t xml:space="preserve">China Grid Electricity:</w:t>
      </w:r>
      <w:r>
        <w:t xml:space="preserve"> </w:t>
      </w:r>
      <w:r>
        <w:t xml:space="preserve">0.7 kg CO2e/kWh (illustrative average)</w:t>
      </w:r>
    </w:p>
    <w:p>
      <w:pPr>
        <w:numPr>
          <w:ilvl w:val="0"/>
          <w:numId w:val="1007"/>
        </w:numPr>
        <w:pStyle w:val="Compact"/>
      </w:pPr>
      <w:r>
        <w:rPr>
          <w:bCs/>
          <w:b/>
        </w:rPr>
        <w:t xml:space="preserve">Road Freight (HGV):</w:t>
      </w:r>
      <w:r>
        <w:t xml:space="preserve"> </w:t>
      </w:r>
      <w:r>
        <w:t xml:space="preserve">0.092 kg CO2e/tonne-km (for upstream transport)</w:t>
      </w:r>
    </w:p>
    <w:p>
      <w:pPr>
        <w:numPr>
          <w:ilvl w:val="0"/>
          <w:numId w:val="1007"/>
        </w:numPr>
        <w:pStyle w:val="Compact"/>
      </w:pPr>
      <w:r>
        <w:rPr>
          <w:bCs/>
          <w:b/>
        </w:rPr>
        <w:t xml:space="preserve">Courier Van (Diesel):</w:t>
      </w:r>
      <w:r>
        <w:t xml:space="preserve"> </w:t>
      </w:r>
      <w:r>
        <w:t xml:space="preserve">0.14189 kg CO2e/km (for last-mile delivery)</w:t>
      </w:r>
    </w:p>
    <w:p>
      <w:pPr>
        <w:numPr>
          <w:ilvl w:val="0"/>
          <w:numId w:val="1007"/>
        </w:numPr>
        <w:pStyle w:val="Compact"/>
      </w:pPr>
      <w:r>
        <w:rPr>
          <w:bCs/>
          <w:b/>
        </w:rPr>
        <w:t xml:space="preserve">Landfill Disposal:</w:t>
      </w:r>
      <w:r>
        <w:t xml:space="preserve"> </w:t>
      </w:r>
      <w:r>
        <w:t xml:space="preserve">0.1 kg CO2e/kg (illustrative for mixed materials)</w:t>
      </w:r>
    </w:p>
    <w:p>
      <w:pPr>
        <w:numPr>
          <w:ilvl w:val="0"/>
          <w:numId w:val="1007"/>
        </w:numPr>
        <w:pStyle w:val="Compact"/>
      </w:pPr>
      <w:r>
        <w:rPr>
          <w:bCs/>
          <w:b/>
        </w:rPr>
        <w:t xml:space="preserve">Recycling Process Emissions:</w:t>
      </w:r>
      <w:r>
        <w:t xml:space="preserve"> </w:t>
      </w:r>
      <w:r>
        <w:t xml:space="preserve">0.2 kg CO2e/kg (illustrative processing)</w:t>
      </w:r>
    </w:p>
    <w:p>
      <w:pPr>
        <w:numPr>
          <w:ilvl w:val="0"/>
          <w:numId w:val="1007"/>
        </w:numPr>
        <w:pStyle w:val="Compact"/>
      </w:pPr>
      <w:r>
        <w:rPr>
          <w:bCs/>
          <w:b/>
        </w:rPr>
        <w:t xml:space="preserve">Recycling Avoided Emissions:</w:t>
      </w:r>
      <w:r>
        <w:t xml:space="preserve"> </w:t>
      </w:r>
      <w:r>
        <w:t xml:space="preserve">-1.5 kg CO2e/kg (illustrative for virgin material offset)</w:t>
      </w:r>
    </w:p>
    <w:bookmarkEnd w:id="30"/>
    <w:bookmarkStart w:id="36" w:name="ghg-protocol-scopes-breakdown"/>
    <w:p>
      <w:pPr>
        <w:pStyle w:val="Heading3"/>
      </w:pPr>
      <w:r>
        <w:t xml:space="preserve">GHG Protocol Scopes Breakdown</w:t>
      </w:r>
    </w:p>
    <w:p>
      <w:pPr>
        <w:pStyle w:val="FirstParagraph"/>
      </w:pPr>
      <w:r>
        <w:t xml:space="preserve">The GHG Protocol classifies emissions into three scopes to provide a structured approach to inventory management.</w:t>
      </w:r>
    </w:p>
    <w:bookmarkStart w:id="31" w:name="scope-1-direct-emissions"/>
    <w:p>
      <w:pPr>
        <w:pStyle w:val="Heading4"/>
      </w:pPr>
      <w:r>
        <w:t xml:space="preserve">Scope 1: Direct Emissions</w:t>
      </w:r>
    </w:p>
    <w:p>
      <w:pPr>
        <w:pStyle w:val="FirstParagraph"/>
      </w:pPr>
      <w:r>
        <w:t xml:space="preserve">These are direct GHG emissions from sources owned or controlled by kmyrjpyvjo. For a product-level assessment with a "factory_gate" boundary, Scope 1 would typically include direct emissions from manufacturing processes (e.g., on-site fuel combustion, process emissions) within the factory. Given the provided parameters, specific direct combustion data is not detailed; hence, direct process emissions from owned/controlled sources are considered negligible for this product unit or embedded within the energy intensity if produced via purchased electricity/heat. If \'kmyrjpyvjo\' owned the upstream transport vehicles, these emissions would fall under Scope 1, but they are typically outsourced and thus Scope 3 for a PCF.</w:t>
      </w:r>
    </w:p>
    <w:p>
      <w:pPr>
        <w:pStyle w:val="BodyText"/>
      </w:pPr>
      <w:r>
        <w:rPr>
          <w:bCs/>
          <w:b/>
        </w:rPr>
        <w:t xml:space="preserve">Illustrative Scope 1 Emissions: 0.00 kg CO2e (Assumed negligible for product unit within factory gate boundary, or embedded in Scope 2/3 for purchased energy and outsourced transport).</w:t>
      </w:r>
    </w:p>
    <w:bookmarkEnd w:id="31"/>
    <w:bookmarkStart w:id="32" w:name="X940f739cc6425d99b84e128f190b13e064c5cd0"/>
    <w:p>
      <w:pPr>
        <w:pStyle w:val="Heading4"/>
      </w:pPr>
      <w:r>
        <w:t xml:space="preserve">Scope 2: Indirect Emissions from Purchased Energy</w:t>
      </w:r>
    </w:p>
    <w:p>
      <w:pPr>
        <w:pStyle w:val="FirstParagraph"/>
      </w:pPr>
      <w:r>
        <w:t xml:space="preserve">These are indirect GHG emissions from the generation of purchased electricity, steam, heating, or cooling consumed by kmyrjpyvjo during the production of \'uqwzuwhdlg\'. The calculation accounts for the renewable energy usage:</w:t>
      </w:r>
    </w:p>
    <w:p>
      <w:pPr>
        <w:numPr>
          <w:ilvl w:val="0"/>
          <w:numId w:val="1008"/>
        </w:numPr>
        <w:pStyle w:val="Compact"/>
      </w:pPr>
      <w:r>
        <w:t xml:space="preserve">Energy Intensity: 10 kWh/unit</w:t>
      </w:r>
    </w:p>
    <w:p>
      <w:pPr>
        <w:numPr>
          <w:ilvl w:val="0"/>
          <w:numId w:val="1008"/>
        </w:numPr>
        <w:pStyle w:val="Compact"/>
      </w:pPr>
      <w:r>
        <w:t xml:space="preserve">Renewable Energy Usage: 50%</w:t>
      </w:r>
    </w:p>
    <w:p>
      <w:pPr>
        <w:numPr>
          <w:ilvl w:val="0"/>
          <w:numId w:val="1008"/>
        </w:numPr>
        <w:pStyle w:val="Compact"/>
      </w:pPr>
      <w:r>
        <w:t xml:space="preserve">Non-renewable energy: 10 kWh/unit * (1 - 0.50) = 5 kWh/unit</w:t>
      </w:r>
    </w:p>
    <w:p>
      <w:pPr>
        <w:numPr>
          <w:ilvl w:val="0"/>
          <w:numId w:val="1008"/>
        </w:numPr>
        <w:pStyle w:val="Compact"/>
      </w:pPr>
      <w:r>
        <w:t xml:space="preserve">China Grid Emission Factor: 0.7 kg CO2e/kWh</w:t>
      </w:r>
    </w:p>
    <w:p>
      <w:pPr>
        <w:numPr>
          <w:ilvl w:val="0"/>
          <w:numId w:val="1008"/>
        </w:numPr>
        <w:pStyle w:val="Compact"/>
      </w:pPr>
      <w:r>
        <w:rPr>
          <w:bCs/>
          <w:b/>
        </w:rPr>
        <w:t xml:space="preserve">Calculation:</w:t>
      </w:r>
      <w:r>
        <w:t xml:space="preserve"> </w:t>
      </w:r>
      <w:r>
        <w:t xml:space="preserve">5 kWh/unit * 0.7 kg CO2e/kWh = 3.50 kg CO2e/unit</w:t>
      </w:r>
    </w:p>
    <w:p>
      <w:pPr>
        <w:pStyle w:val="FirstParagraph"/>
      </w:pPr>
      <w:r>
        <w:rPr>
          <w:bCs/>
          <w:b/>
        </w:rPr>
        <w:t xml:space="preserve">Illustrative Scope 2 Emissions: 3.50 kg CO2e/unit</w:t>
      </w:r>
    </w:p>
    <w:bookmarkEnd w:id="32"/>
    <w:bookmarkStart w:id="35" w:name="Xd1c2b652bc5876514f180a21f002993b8de8e83"/>
    <w:p>
      <w:pPr>
        <w:pStyle w:val="Heading4"/>
      </w:pPr>
      <w:r>
        <w:t xml:space="preserve">Scope 3: Other Indirect Emissions (Value Chain)</w:t>
      </w:r>
    </w:p>
    <w:p>
      <w:pPr>
        <w:pStyle w:val="FirstParagraph"/>
      </w:pPr>
      <w:r>
        <w:t xml:space="preserve">These encompass all other indirect emissions that occur in the value chain of kmyrjpyvjo, both upstream and downstream, not covered in Scope 2. The 2026 GHG Protocol updates emphasize at least 95% coverage for Scope 3 reporting.</w:t>
      </w:r>
    </w:p>
    <w:bookmarkStart w:id="33" w:name="upstream-emissions"/>
    <w:p>
      <w:pPr>
        <w:pStyle w:val="Heading5"/>
      </w:pPr>
      <w:r>
        <w:t xml:space="preserve">Upstream Emissions:</w:t>
      </w:r>
    </w:p>
    <w:p>
      <w:pPr>
        <w:numPr>
          <w:ilvl w:val="0"/>
          <w:numId w:val="1009"/>
        </w:numPr>
        <w:pStyle w:val="Compact"/>
      </w:pPr>
      <w:r>
        <w:rPr>
          <w:bCs/>
          <w:b/>
        </w:rPr>
        <w:t xml:space="preserve">Category 1: Purchased Goods and Services (Materials)</w:t>
      </w:r>
    </w:p>
    <w:p>
      <w:pPr>
        <w:numPr>
          <w:ilvl w:val="1"/>
          <w:numId w:val="1010"/>
        </w:numPr>
        <w:pStyle w:val="Compact"/>
      </w:pPr>
      <w:r>
        <w:t xml:space="preserve">Total Material Emissions (from BOM example): 5.41 kg CO2e/unit</w:t>
      </w:r>
    </w:p>
    <w:p>
      <w:pPr>
        <w:numPr>
          <w:ilvl w:val="0"/>
          <w:numId w:val="1009"/>
        </w:numPr>
        <w:pStyle w:val="Compact"/>
      </w:pPr>
      <w:r>
        <w:rPr>
          <w:bCs/>
          <w:b/>
        </w:rPr>
        <w:t xml:space="preserve">Category 4: Upstream Transportation and Distribution (Raw Material Transport)</w:t>
      </w:r>
    </w:p>
    <w:p>
      <w:pPr>
        <w:numPr>
          <w:ilvl w:val="1"/>
          <w:numId w:val="1011"/>
        </w:numPr>
        <w:pStyle w:val="Compact"/>
      </w:pPr>
      <w:r>
        <w:t xml:space="preserve">Assumed average product mass (based on BOM total): 1.1 kg</w:t>
      </w:r>
    </w:p>
    <w:p>
      <w:pPr>
        <w:numPr>
          <w:ilvl w:val="1"/>
          <w:numId w:val="1011"/>
        </w:numPr>
        <w:pStyle w:val="Compact"/>
      </w:pPr>
      <w:r>
        <w:t xml:space="preserve">Transport Mode: Road Freight (HGV &gt; 20t)</w:t>
      </w:r>
    </w:p>
    <w:p>
      <w:pPr>
        <w:numPr>
          <w:ilvl w:val="1"/>
          <w:numId w:val="1011"/>
        </w:numPr>
        <w:pStyle w:val="Compact"/>
      </w:pPr>
      <w:r>
        <w:t xml:space="preserve">Transport Distance: 1500 km</w:t>
      </w:r>
    </w:p>
    <w:p>
      <w:pPr>
        <w:numPr>
          <w:ilvl w:val="1"/>
          <w:numId w:val="1011"/>
        </w:numPr>
        <w:pStyle w:val="Compact"/>
      </w:pPr>
      <w:r>
        <w:t xml:space="preserve">Emission Factor: 0.092 kg CO2e/tonne-km = 0.000092 kg CO2e/kg-km</w:t>
      </w:r>
    </w:p>
    <w:p>
      <w:pPr>
        <w:numPr>
          <w:ilvl w:val="1"/>
          <w:numId w:val="1011"/>
        </w:numPr>
        <w:pStyle w:val="Compact"/>
      </w:pPr>
      <w:r>
        <w:rPr>
          <w:bCs/>
          <w:b/>
        </w:rPr>
        <w:t xml:space="preserve">Calculation:</w:t>
      </w:r>
      <w:r>
        <w:t xml:space="preserve"> </w:t>
      </w:r>
      <w:r>
        <w:t xml:space="preserve">1.1 kg * 1500 km * 0.000092 kg CO2e/kg-km = 0.1518 kg CO2e/unit</w:t>
      </w:r>
    </w:p>
    <w:bookmarkEnd w:id="33"/>
    <w:bookmarkStart w:id="34" w:name="downstream-emissions"/>
    <w:p>
      <w:pPr>
        <w:pStyle w:val="Heading5"/>
      </w:pPr>
      <w:r>
        <w:t xml:space="preserve">Downstream Emissions:</w:t>
      </w:r>
    </w:p>
    <w:p>
      <w:pPr>
        <w:numPr>
          <w:ilvl w:val="0"/>
          <w:numId w:val="1012"/>
        </w:numPr>
        <w:pStyle w:val="Compact"/>
      </w:pPr>
      <w:r>
        <w:rPr>
          <w:bCs/>
          <w:b/>
        </w:rPr>
        <w:t xml:space="preserve">Category 9: Downstream Transportation and Distribution (Last-Mile Delivery)</w:t>
      </w:r>
    </w:p>
    <w:p>
      <w:pPr>
        <w:numPr>
          <w:ilvl w:val="1"/>
          <w:numId w:val="1013"/>
        </w:numPr>
        <w:pStyle w:val="Compact"/>
      </w:pPr>
      <w:r>
        <w:t xml:space="preserve">Last-Mile Delivery Channel: Courier Van (Diesel, Class I)</w:t>
      </w:r>
    </w:p>
    <w:p>
      <w:pPr>
        <w:numPr>
          <w:ilvl w:val="1"/>
          <w:numId w:val="1013"/>
        </w:numPr>
        <w:pStyle w:val="Compact"/>
      </w:pPr>
      <w:r>
        <w:t xml:space="preserve">Assumed average last-mile distance: 50 km (illustrative)</w:t>
      </w:r>
    </w:p>
    <w:p>
      <w:pPr>
        <w:numPr>
          <w:ilvl w:val="1"/>
          <w:numId w:val="1013"/>
        </w:numPr>
        <w:pStyle w:val="Compact"/>
      </w:pPr>
      <w:r>
        <w:t xml:space="preserve">Emission Factor: 0.14189 kg CO2e/km</w:t>
      </w:r>
    </w:p>
    <w:p>
      <w:pPr>
        <w:numPr>
          <w:ilvl w:val="1"/>
          <w:numId w:val="1013"/>
        </w:numPr>
        <w:pStyle w:val="Compact"/>
      </w:pPr>
      <w:r>
        <w:rPr>
          <w:bCs/>
          <w:b/>
        </w:rPr>
        <w:t xml:space="preserve">Calculation:</w:t>
      </w:r>
      <w:r>
        <w:t xml:space="preserve"> </w:t>
      </w:r>
      <w:r>
        <w:t xml:space="preserve">50 km * 0.14189 kg CO2e/km = 7.0945 kg CO2e/unit</w:t>
      </w:r>
    </w:p>
    <w:p>
      <w:pPr>
        <w:numPr>
          <w:ilvl w:val="0"/>
          <w:numId w:val="1012"/>
        </w:numPr>
        <w:pStyle w:val="Compact"/>
      </w:pPr>
      <w:r>
        <w:rPr>
          <w:bCs/>
          <w:b/>
        </w:rPr>
        <w:t xml:space="preserve">Category 11: Use of Sold Products</w:t>
      </w:r>
    </w:p>
    <w:p>
      <w:pPr>
        <w:numPr>
          <w:ilvl w:val="1"/>
          <w:numId w:val="1014"/>
        </w:numPr>
        <w:pStyle w:val="Compact"/>
      </w:pPr>
      <w:r>
        <w:t xml:space="preserve">Product Lifespan: 5 years</w:t>
      </w:r>
    </w:p>
    <w:p>
      <w:pPr>
        <w:numPr>
          <w:ilvl w:val="1"/>
          <w:numId w:val="1014"/>
        </w:numPr>
        <w:pStyle w:val="Compact"/>
      </w:pPr>
      <w:r>
        <w:t xml:space="preserve">Energy Consumption in Use: 20 kWh/year</w:t>
      </w:r>
    </w:p>
    <w:p>
      <w:pPr>
        <w:numPr>
          <w:ilvl w:val="1"/>
          <w:numId w:val="1014"/>
        </w:numPr>
        <w:pStyle w:val="Compact"/>
      </w:pPr>
      <w:r>
        <w:t xml:space="preserve">Assumed Average End-user Grid Emission Factor: 0.5 kg CO2e/kWh (illustrative for European focus)</w:t>
      </w:r>
    </w:p>
    <w:p>
      <w:pPr>
        <w:numPr>
          <w:ilvl w:val="1"/>
          <w:numId w:val="1014"/>
        </w:numPr>
        <w:pStyle w:val="Compact"/>
      </w:pPr>
      <w:r>
        <w:rPr>
          <w:bCs/>
          <w:b/>
        </w:rPr>
        <w:t xml:space="preserve">Calculation:</w:t>
      </w:r>
      <w:r>
        <w:t xml:space="preserve"> </w:t>
      </w:r>
      <w:r>
        <w:t xml:space="preserve">20 kWh/year * 5 years * 0.5 kg CO2e/kWh = 50.00 kg CO2e/unit</w:t>
      </w:r>
    </w:p>
    <w:p>
      <w:pPr>
        <w:numPr>
          <w:ilvl w:val="0"/>
          <w:numId w:val="1012"/>
        </w:numPr>
        <w:pStyle w:val="Compact"/>
      </w:pPr>
      <w:r>
        <w:rPr>
          <w:bCs/>
          <w:b/>
        </w:rPr>
        <w:t xml:space="preserve">Category 12: End-of-Life Treatment of Sold Products</w:t>
      </w:r>
    </w:p>
    <w:p>
      <w:pPr>
        <w:numPr>
          <w:ilvl w:val="1"/>
          <w:numId w:val="1015"/>
        </w:numPr>
        <w:pStyle w:val="Compact"/>
      </w:pPr>
      <w:r>
        <w:t xml:space="preserve">Total Product Mass (from BOM example): 1.1 kg</w:t>
      </w:r>
    </w:p>
    <w:p>
      <w:pPr>
        <w:numPr>
          <w:ilvl w:val="1"/>
          <w:numId w:val="1015"/>
        </w:numPr>
        <w:pStyle w:val="Compact"/>
      </w:pPr>
      <w:r>
        <w:t xml:space="preserve">Recyclability Percentage: 80%</w:t>
      </w:r>
    </w:p>
    <w:p>
      <w:pPr>
        <w:numPr>
          <w:ilvl w:val="1"/>
          <w:numId w:val="1015"/>
        </w:numPr>
        <w:pStyle w:val="Compact"/>
      </w:pPr>
      <w:r>
        <w:t xml:space="preserve">Mass to Recycling: 1.1 kg * 0.80 = 0.88 kg</w:t>
      </w:r>
    </w:p>
    <w:p>
      <w:pPr>
        <w:numPr>
          <w:ilvl w:val="1"/>
          <w:numId w:val="1015"/>
        </w:numPr>
        <w:pStyle w:val="Compact"/>
      </w:pPr>
      <w:r>
        <w:t xml:space="preserve">Mass to Landfill: 1.1 kg * 0.20 = 0.22 kg</w:t>
      </w:r>
    </w:p>
    <w:p>
      <w:pPr>
        <w:numPr>
          <w:ilvl w:val="1"/>
          <w:numId w:val="1015"/>
        </w:numPr>
        <w:pStyle w:val="Compact"/>
      </w:pPr>
      <w:r>
        <w:t xml:space="preserve">Landfill Emissions: 0.22 kg * 0.1 kg CO2e/kg = 0.022 kg CO2e</w:t>
      </w:r>
    </w:p>
    <w:p>
      <w:pPr>
        <w:numPr>
          <w:ilvl w:val="1"/>
          <w:numId w:val="1015"/>
        </w:numPr>
        <w:pStyle w:val="Compact"/>
      </w:pPr>
      <w:r>
        <w:t xml:space="preserve">Recycling Net Impact: (0.88 kg * 0.2 kg CO2e/kg for processing) - (0.88 kg * 1.5 kg CO2e/kg for avoided virgin material) = 0.176 - 1.32 = -1.144 kg CO2e (net saving)</w:t>
      </w:r>
    </w:p>
    <w:p>
      <w:pPr>
        <w:numPr>
          <w:ilvl w:val="1"/>
          <w:numId w:val="1015"/>
        </w:numPr>
        <w:pStyle w:val="Compact"/>
      </w:pPr>
      <w:r>
        <w:rPr>
          <w:bCs/>
          <w:b/>
        </w:rPr>
        <w:t xml:space="preserve">Calculation:</w:t>
      </w:r>
      <w:r>
        <w:t xml:space="preserve"> </w:t>
      </w:r>
      <w:r>
        <w:t xml:space="preserve">0.022 kg CO2e + (-1.144 kg CO2e) = -1.122 kg CO2e/unit (Net Saving)</w:t>
      </w:r>
    </w:p>
    <w:p>
      <w:pPr>
        <w:pStyle w:val="FirstParagraph"/>
      </w:pPr>
      <w:r>
        <w:rPr>
          <w:bCs/>
          <w:b/>
        </w:rPr>
        <w:t xml:space="preserve">Illustrative Total Scope 3 Emissions:</w:t>
      </w:r>
      <w:r>
        <w:t xml:space="preserve"> </w:t>
      </w:r>
      <w:r>
        <w:t xml:space="preserve">5.41 (Materials) + 0.1518 (Upstream Transport) + 7.0945 (Downstream Transport) + 50.00 (Use Phase) - 1.122 (EoL) =</w:t>
      </w:r>
      <w:r>
        <w:t xml:space="preserve"> </w:t>
      </w:r>
      <w:r>
        <w:rPr>
          <w:bCs/>
          <w:b/>
        </w:rPr>
        <w:t xml:space="preserve">61.5343 kg CO2e/unit</w:t>
      </w:r>
    </w:p>
    <w:bookmarkEnd w:id="34"/>
    <w:bookmarkEnd w:id="35"/>
    <w:bookmarkEnd w:id="36"/>
    <w:bookmarkStart w:id="37" w:name="X504f4a86e01fdcfa46a4589bb1b5e0cfaad8629"/>
    <w:p>
      <w:pPr>
        <w:pStyle w:val="Heading3"/>
      </w:pPr>
      <w:r>
        <w:t xml:space="preserve">2026 Land Sector and Removals (LSR) Standard Update</w:t>
      </w:r>
    </w:p>
    <w:p>
      <w:pPr>
        <w:pStyle w:val="FirstParagraph"/>
      </w:pPr>
      <w:r>
        <w:t xml:space="preserve">The Land Sector and Removals (LSR) Standard, released by GHG Protocol on January 30, 2026, and effective January 1, 2027, provides requirements and guidance for accounting for emissions and carbon removals from agricultural and land use activities. While specific land-use data for \'uqwzuwhdlg\' is not provided in the parameters, \'kmyrjpyvjo\' acknowledges the importance of this standard. Future PCF analyses will explicitly incorporate land management and CO2 removal data where relevant, ensuring compliance with the LSR Standard\'s guidelines for quantifying, reporting, and tracking these impacts within the value chain.</w:t>
      </w:r>
    </w:p>
    <w:bookmarkEnd w:id="37"/>
    <w:bookmarkStart w:id="38" w:name="scope-3-compliance-2026-requirements"/>
    <w:p>
      <w:pPr>
        <w:pStyle w:val="Heading3"/>
      </w:pPr>
      <w:r>
        <w:t xml:space="preserve">Scope 3 Compliance (2026 Requirements)</w:t>
      </w:r>
    </w:p>
    <w:p>
      <w:pPr>
        <w:pStyle w:val="FirstParagraph"/>
      </w:pPr>
      <w:r>
        <w:t xml:space="preserve">In line with 2026 requirements, this PCF aims for at least 95% coverage for Scope 3 reporting. The analysis includes all significant upstream and downstream categories relevant to \'uqwzuwhdlg\', focusing on materials, manufacturing, transport, use, and end-of-life. Data disaggregation by source type (primary vs. secondary) will be a critical aspect of future reporting to enhance transparency and data quality, as highlighted in the latest GHG Protocol updates.</w:t>
      </w:r>
    </w:p>
    <w:bookmarkEnd w:id="38"/>
    <w:bookmarkStart w:id="39" w:name="X83d14a77f5a5bc676e136ea9d6232cb4b2ba294"/>
    <w:p>
      <w:pPr>
        <w:pStyle w:val="Heading3"/>
      </w:pPr>
      <w:r>
        <w:t xml:space="preserve">Summary of Illustrative Product Carbon Footprint (PCF) for uqwzuwhdlg</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Lifecycle Stage</w:t>
            </w:r>
          </w:p>
        </w:tc>
        <w:tc>
          <w:tcPr/>
          <w:p>
            <w:pPr>
              <w:pStyle w:val="Compact"/>
              <w:jc w:val="left"/>
            </w:pPr>
            <w:r>
              <w:t xml:space="preserve">Illustrative Emissions (kg 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3.50</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Materials (Category 1)</w:t>
            </w:r>
          </w:p>
        </w:tc>
        <w:tc>
          <w:tcPr/>
          <w:p>
            <w:pPr>
              <w:pStyle w:val="Compact"/>
              <w:jc w:val="left"/>
            </w:pPr>
            <w:r>
              <w:t xml:space="preserve">5.41</w:t>
            </w:r>
          </w:p>
        </w:tc>
      </w:tr>
      <w:tr>
        <w:tc>
          <w:tcPr/>
          <w:p>
            <w:pPr>
              <w:pStyle w:val="Compact"/>
              <w:jc w:val="left"/>
            </w:pPr>
            <w:r>
              <w:t xml:space="preserve">    Upstream Transportation (Category 4)</w:t>
            </w:r>
          </w:p>
        </w:tc>
        <w:tc>
          <w:tcPr/>
          <w:p>
            <w:pPr>
              <w:pStyle w:val="Compact"/>
              <w:jc w:val="left"/>
            </w:pPr>
            <w:r>
              <w:t xml:space="preserve">0.15</w:t>
            </w:r>
          </w:p>
        </w:tc>
      </w:tr>
      <w:tr>
        <w:tc>
          <w:tcPr/>
          <w:p>
            <w:pPr>
              <w:pStyle w:val="Compact"/>
              <w:jc w:val="left"/>
            </w:pPr>
            <w:r>
              <w:t xml:space="preserve">    Downstream Transportation (Category 9)</w:t>
            </w:r>
          </w:p>
        </w:tc>
        <w:tc>
          <w:tcPr/>
          <w:p>
            <w:pPr>
              <w:pStyle w:val="Compact"/>
              <w:jc w:val="left"/>
            </w:pPr>
            <w:r>
              <w:t xml:space="preserve">7.09</w:t>
            </w:r>
          </w:p>
        </w:tc>
      </w:tr>
      <w:tr>
        <w:tc>
          <w:tcPr/>
          <w:p>
            <w:pPr>
              <w:pStyle w:val="Compact"/>
              <w:jc w:val="left"/>
            </w:pPr>
            <w:r>
              <w:t xml:space="preserve">    Use of Sold Products (Category 11)</w:t>
            </w:r>
          </w:p>
        </w:tc>
        <w:tc>
          <w:tcPr/>
          <w:p>
            <w:pPr>
              <w:pStyle w:val="Compact"/>
              <w:jc w:val="left"/>
            </w:pPr>
            <w:r>
              <w:t xml:space="preserve">50.00</w:t>
            </w:r>
          </w:p>
        </w:tc>
      </w:tr>
      <w:tr>
        <w:tc>
          <w:tcPr/>
          <w:p>
            <w:pPr>
              <w:pStyle w:val="Compact"/>
              <w:jc w:val="left"/>
            </w:pPr>
            <w:r>
              <w:t xml:space="preserve">    End-of-Life Treatment (Category 12)</w:t>
            </w:r>
          </w:p>
        </w:tc>
        <w:tc>
          <w:tcPr/>
          <w:p>
            <w:pPr>
              <w:pStyle w:val="Compact"/>
              <w:jc w:val="left"/>
            </w:pPr>
            <w:r>
              <w:t xml:space="preserve">-1.12 (Net Saving)</w:t>
            </w:r>
          </w:p>
        </w:tc>
      </w:tr>
      <w:tr>
        <w:tc>
          <w:tcPr/>
          <w:p>
            <w:pPr>
              <w:pStyle w:val="Compact"/>
              <w:jc w:val="left"/>
            </w:pPr>
            <w:r>
              <w:rPr>
                <w:bCs/>
                <w:b/>
              </w:rPr>
              <w:t xml:space="preserve">TOTAL PRODUCT CARBON FOOTPRINT</w:t>
            </w:r>
          </w:p>
        </w:tc>
        <w:tc>
          <w:tcPr/>
          <w:p>
            <w:pPr>
              <w:pStyle w:val="Compact"/>
              <w:jc w:val="left"/>
            </w:pPr>
            <w:r>
              <w:rPr>
                <w:bCs/>
                <w:b/>
              </w:rPr>
              <w:t xml:space="preserve">65.03 kg CO2e/unit</w:t>
            </w:r>
          </w:p>
        </w:tc>
      </w:tr>
    </w:tbl>
    <w:p>
      <w:pPr>
        <w:pStyle w:val="BodyText"/>
      </w:pPr>
      <w:r>
        <w:t xml:space="preserve">*Totals may vary slightly due to rounding.</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Hotspot Identification</w:t>
      </w:r>
    </w:p>
    <w:p>
      <w:pPr>
        <w:pStyle w:val="FirstParagraph"/>
      </w:pPr>
      <w:r>
        <w:t xml:space="preserve">Based on the illustrative calculations, the primary emission hotspots for \'uqwzuwhdlg\' are identified as:</w:t>
      </w:r>
    </w:p>
    <w:p>
      <w:pPr>
        <w:numPr>
          <w:ilvl w:val="0"/>
          <w:numId w:val="1016"/>
        </w:numPr>
        <w:pStyle w:val="Compact"/>
      </w:pPr>
      <w:r>
        <w:rPr>
          <w:bCs/>
          <w:b/>
        </w:rPr>
        <w:t xml:space="preserve">Use Phase (Category 11, Scope 3):</w:t>
      </w:r>
      <w:r>
        <w:t xml:space="preserve"> </w:t>
      </w:r>
      <w:r>
        <w:t xml:space="preserve">Representing the largest portion of the footprint due to energy consumption over the product\'s lifespan. This highlights the critical importance of energy efficiency in product design and educating end-users on sustainable energy sourcing.</w:t>
      </w:r>
    </w:p>
    <w:p>
      <w:pPr>
        <w:numPr>
          <w:ilvl w:val="0"/>
          <w:numId w:val="1016"/>
        </w:numPr>
        <w:pStyle w:val="Compact"/>
      </w:pPr>
      <w:r>
        <w:rPr>
          <w:bCs/>
          <w:b/>
        </w:rPr>
        <w:t xml:space="preserve">Materials (Category 1, Scope 3):</w:t>
      </w:r>
      <w:r>
        <w:t xml:space="preserve"> </w:t>
      </w:r>
      <w:r>
        <w:t xml:space="preserve">Raw material extraction and processing, particularly for high-impact materials like aluminum, contribute significantly. Sourcing lower-carbon materials or increasing recycled content can lead to substantial reductions.</w:t>
      </w:r>
    </w:p>
    <w:p>
      <w:pPr>
        <w:numPr>
          <w:ilvl w:val="0"/>
          <w:numId w:val="1016"/>
        </w:numPr>
        <w:pStyle w:val="Compact"/>
      </w:pPr>
      <w:r>
        <w:rPr>
          <w:bCs/>
          <w:b/>
        </w:rPr>
        <w:t xml:space="preserve">Downstream Transportation (Category 9, Scope 3):</w:t>
      </w:r>
      <w:r>
        <w:t xml:space="preserve"> </w:t>
      </w:r>
      <w:r>
        <w:t xml:space="preserve">Last-mile delivery, especially with less efficient transport modes, can be a notable contributor, indicating a need for optimized logistics.</w:t>
      </w:r>
    </w:p>
    <w:bookmarkEnd w:id="41"/>
    <w:bookmarkStart w:id="42" w:name="reliability-statement"/>
    <w:p>
      <w:pPr>
        <w:pStyle w:val="Heading3"/>
      </w:pPr>
      <w:r>
        <w:t xml:space="preserve">Reliability Statement</w:t>
      </w:r>
    </w:p>
    <w:p>
      <w:pPr>
        <w:pStyle w:val="FirstParagraph"/>
      </w:pPr>
      <w:r>
        <w:t xml:space="preserve">The reliability of this report is directly dependent on the accuracy and completeness of the input data. While illustrative data has been used for certain parameters (e.g., transport distance, energy consumption values) in place of specific numerical inputs provided as placeholders, the methodology adheres strictly to the GHG Protocol Product Standard. The calculations use industry-standard emission factors. For \'kmyrjpyvjo\' to achieve a more precise and auditable PCF, the collection of primary, supplier-specific data for all lifecycle stages is recommended. Disclosures on data quality indicators and verification status will be crucial for future compliance with evolving GHG Protocol requirements.</w:t>
      </w:r>
    </w:p>
    <w:bookmarkEnd w:id="42"/>
    <w:bookmarkStart w:id="43" w:name="recommendations-for-reduction"/>
    <w:p>
      <w:pPr>
        <w:pStyle w:val="Heading3"/>
      </w:pPr>
      <w:r>
        <w:t xml:space="preserve">Recommendations for Reduction</w:t>
      </w:r>
    </w:p>
    <w:p>
      <w:pPr>
        <w:pStyle w:val="FirstParagraph"/>
      </w:pPr>
      <w:r>
        <w:t xml:space="preserve">To significantly reduce the carbon footprint of \'uqwzuwhdlg\', kmyrjpyvjo should focus on the following strategic areas:</w:t>
      </w:r>
    </w:p>
    <w:p>
      <w:pPr>
        <w:numPr>
          <w:ilvl w:val="0"/>
          <w:numId w:val="1017"/>
        </w:numPr>
        <w:pStyle w:val="Compact"/>
      </w:pPr>
      <w:r>
        <w:rPr>
          <w:bCs/>
          <w:b/>
        </w:rPr>
        <w:t xml:space="preserve">Enhance Product Energy Efficiency:</w:t>
      </w:r>
      <w:r>
        <w:t xml:space="preserve"> </w:t>
      </w:r>
      <w:r>
        <w:t xml:space="preserve">Prioritize design improvements that reduce energy consumption during the product\'s use phase, or explore options for integrating renewable energy directly into the product\'s functionality.</w:t>
      </w:r>
    </w:p>
    <w:p>
      <w:pPr>
        <w:numPr>
          <w:ilvl w:val="0"/>
          <w:numId w:val="1017"/>
        </w:numPr>
        <w:pStyle w:val="Compact"/>
      </w:pPr>
      <w:r>
        <w:rPr>
          <w:bCs/>
          <w:b/>
        </w:rPr>
        <w:t xml:space="preserve">Sustainable Material Sourcing:</w:t>
      </w:r>
      <w:r>
        <w:t xml:space="preserve"> </w:t>
      </w:r>
      <w:r>
        <w:t xml:space="preserve">Invest in R&amp;D for alternative, lower-carbon materials, or increase the percentage of recycled content in components like the aluminum housing and plastic casing. Engage with suppliers to obtain product-specific environmental declarations (EPDs) for higher accuracy.</w:t>
      </w:r>
    </w:p>
    <w:p>
      <w:pPr>
        <w:numPr>
          <w:ilvl w:val="0"/>
          <w:numId w:val="1017"/>
        </w:numPr>
        <w:pStyle w:val="Compact"/>
      </w:pPr>
      <w:r>
        <w:rPr>
          <w:bCs/>
          <w:b/>
        </w:rPr>
        <w:t xml:space="preserve">Optimize Logistics:</w:t>
      </w:r>
      <w:r>
        <w:t xml:space="preserve"> </w:t>
      </w:r>
      <w:r>
        <w:t xml:space="preserve">Evaluate and optimize transportation routes and modes for both upstream and downstream logistics. Explore options for consolidating shipments, utilizing more efficient vehicle types, and shifting to lower-emission transport modes where feasible, especially for last-mile delivery.</w:t>
      </w:r>
    </w:p>
    <w:p>
      <w:pPr>
        <w:numPr>
          <w:ilvl w:val="0"/>
          <w:numId w:val="1017"/>
        </w:numPr>
        <w:pStyle w:val="Compact"/>
      </w:pPr>
      <w:r>
        <w:rPr>
          <w:bCs/>
          <w:b/>
        </w:rPr>
        <w:t xml:space="preserve">Strengthen Circular Economy Initiatives:</w:t>
      </w:r>
      <w:r>
        <w:t xml:space="preserve"> </w:t>
      </w:r>
      <w:r>
        <w:t xml:space="preserve">Continue to expand and promote take-back and recycling programs. Investigate innovative recycling technologies to increase the \'lrfuzphwui\' (recyclability percentage) and minimize waste sent to landfill.</w:t>
      </w:r>
    </w:p>
    <w:p>
      <w:pPr>
        <w:numPr>
          <w:ilvl w:val="0"/>
          <w:numId w:val="1017"/>
        </w:numPr>
        <w:pStyle w:val="Compact"/>
      </w:pPr>
      <w:r>
        <w:rPr>
          <w:bCs/>
          <w:b/>
        </w:rPr>
        <w:t xml:space="preserve">Supplier Engagement:</w:t>
      </w:r>
      <w:r>
        <w:t xml:space="preserve"> </w:t>
      </w:r>
      <w:r>
        <w:t xml:space="preserve">Work collaboratively with suppliers to collect primary GHG data and drive decarbonization efforts throughout the supply chain, which will be essential for meeting the 95% Scope 3 coverage rule.</w:t>
      </w:r>
    </w:p>
    <w:bookmarkEnd w:id="43"/>
    <w:bookmarkEnd w:id="44"/>
    <w:bookmarkStart w:id="45" w:name="conclusion"/>
    <w:p>
      <w:pPr>
        <w:pStyle w:val="Heading2"/>
      </w:pPr>
      <w:r>
        <w:t xml:space="preserve">Conclusion</w:t>
      </w:r>
    </w:p>
    <w:p>
      <w:pPr>
        <w:pStyle w:val="FirstParagraph"/>
      </w:pPr>
      <w:r>
        <w:t xml:space="preserve">This Product Carbon Footprint analysis provides \'kmyrjpyvjo\' with a foundational understanding of the environmental impact of \'uqwzuwhdlg\' throughout its lifecycle. By identifying key emission hotspots and adhering to the robust framework of the GHG Protocol, including the 2026 LSR Standard and Scope 3 compliance, \'kmyrjpyvjo\' is well-positioned to develop targeted strategies for emission reduction. Continued commitment to data accuracy, transparent reporting, and strategic collaboration across the value chain will be paramount in achieving ambitious sustainability goals and demonstrating leadership in a rapidly evolving regulatory landscape.</w:t>
      </w:r>
    </w:p>
    <w:p>
      <w:r>
        <w:pict>
          <v:rect style="width:0;height:1.5pt" o:hralign="center" o:hrstd="t" o:hr="t"/>
        </w:pict>
      </w:r>
    </w:p>
    <w:p>
      <w:pPr>
        <w:pStyle w:val="FirstParagraph"/>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uqwzuwhdlg</dc:title>
  <dc:creator/>
  <dc:description>High-detail Product Carbon Footprint (PCF) analysis report for uqwzuwhdlg by kmyrjpyvjo, adhering to GHG Protocol and 2026 Scope 3 updates.</dc:description>
  <cp:keywords/>
  <dcterms:created xsi:type="dcterms:W3CDTF">2026-07-15T14:25:57Z</dcterms:created>
  <dcterms:modified xsi:type="dcterms:W3CDTF">2026-07-15T14:25:57Z</dcterms:modified>
</cp:coreProperties>
</file>

<file path=docProps/custom.xml><?xml version="1.0" encoding="utf-8"?>
<Properties xmlns="http://schemas.openxmlformats.org/officeDocument/2006/custom-properties" xmlns:vt="http://schemas.openxmlformats.org/officeDocument/2006/docPropsVTypes"/>
</file>