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udvsvxyout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w:t>
      </w:r>
      <w:r>
        <w:t xml:space="preserve"> </w:t>
      </w:r>
      <w:r>
        <w:rPr>
          <w:bCs/>
          <w:b/>
        </w:rPr>
        <w:t xml:space="preserve">udvsvxyout</w:t>
      </w:r>
    </w:p>
    <w:p>
      <w:pPr>
        <w:pStyle w:val="BodyText"/>
      </w:pPr>
      <w:r>
        <w:t xml:space="preserve">Company Name:</w:t>
      </w:r>
      <w:r>
        <w:t xml:space="preserve"> </w:t>
      </w:r>
      <w:r>
        <w:rPr>
          <w:bCs/>
          <w:b/>
        </w:rPr>
        <w:t xml:space="preserve">esgnwpveqg</w:t>
      </w:r>
    </w:p>
    <w:p>
      <w:pPr>
        <w:pStyle w:val="BodyText"/>
      </w:pPr>
      <w:r>
        <w:t xml:space="preserve">Senior Sustainability Consultant:</w:t>
      </w:r>
      <w:r>
        <w:t xml:space="preserve"> </w:t>
      </w:r>
      <w:r>
        <w:rPr>
          <w:bCs/>
          <w:b/>
        </w:rPr>
        <w:t xml:space="preserve">dnuqqrznmx</w:t>
      </w:r>
    </w:p>
    <w:p>
      <w:pPr>
        <w:pStyle w:val="BodyText"/>
      </w:pPr>
      <w:r>
        <w:t xml:space="preserve">Protocol Data (Accounting Standard):</w:t>
      </w:r>
      <w:r>
        <w:t xml:space="preserve"> </w:t>
      </w:r>
      <w:r>
        <w:rPr>
          <w:bCs/>
          <w:b/>
        </w:rPr>
        <w:t xml:space="preserve">GHG Protocol</w:t>
      </w:r>
    </w:p>
    <w:p>
      <w:pPr>
        <w:pStyle w:val="BodyText"/>
      </w:pPr>
      <w:r>
        <w:t xml:space="preserve">Disclaimer: This report is generated based on available data and industry standards. For certain parameters, illustrative example data has been used where specific numerical inputs were provided as placeholder strings in the request. The accuracy of the real-world carbon footprint relies on precise primary data for all life cycle stages.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 udvsvxyout</w:t>
      </w:r>
    </w:p>
    <w:p>
      <w:pPr>
        <w:pStyle w:val="BodyText"/>
      </w:pPr>
      <w:r>
        <w:t xml:space="preserve">Generated Date: May 19,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udvsvxyout</w:t>
      </w:r>
      <w:r>
        <w:t xml:space="preserve">, manufactured by</w:t>
      </w:r>
      <w:r>
        <w:t xml:space="preserve"> </w:t>
      </w:r>
      <w:r>
        <w:rPr>
          <w:bCs/>
          <w:b/>
        </w:rPr>
        <w:t xml:space="preserve">esgnwpveqg</w:t>
      </w:r>
      <w:r>
        <w:t xml:space="preserve">. The analysis was conducted by</w:t>
      </w:r>
      <w:r>
        <w:t xml:space="preserve"> </w:t>
      </w:r>
      <w:r>
        <w:rPr>
          <w:bCs/>
          <w:b/>
        </w:rPr>
        <w:t xml:space="preserve">dnuqqrznmx</w:t>
      </w:r>
      <w:r>
        <w:t xml:space="preserve">, a Senior Sustainability Consultant, adhering to the Greenhouse Gas (GHG) Protocol. The objective is to quantify the greenhouse gas emissions associated with the product\'s lifecycle, from material acquisition to end-of-life, identify emission hotspots, and provide a foundation for reduction strategies.</w:t>
      </w:r>
    </w:p>
    <w:p>
      <w:pPr>
        <w:pStyle w:val="BodyText"/>
      </w:pPr>
      <w:r>
        <w:t xml:space="preserve">Due to the nature of the input request, several critical parameters, such as the detailed Bill of Materials, specific transport distances and modes, energy usage, product lifespan, and end-of-life scenarios, were provided as placeholder strings (e.g., \'hpkfqptp\', \'dvqhnrrtol\'). To demonstrate the methodology and provide a comprehensive report, illustrative numerical examples have been used for these parameters. It is imperative that for a true, high-accuracy PCF, precise primary data for all relevant parameters is collected and utilized.</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analysis for</w:t>
      </w:r>
      <w:r>
        <w:t xml:space="preserve"> </w:t>
      </w:r>
      <w:r>
        <w:rPr>
          <w:bCs/>
          <w:b/>
        </w:rPr>
        <w:t xml:space="preserve">udvsvxyout</w:t>
      </w:r>
      <w:r>
        <w:t xml:space="preserve"> </w:t>
      </w:r>
      <w:r>
        <w:t xml:space="preserve">is defined as follows:</w:t>
      </w:r>
    </w:p>
    <w:p>
      <w:pPr>
        <w:numPr>
          <w:ilvl w:val="0"/>
          <w:numId w:val="1001"/>
        </w:numPr>
        <w:pStyle w:val="Compact"/>
      </w:pPr>
      <w:r>
        <w:rPr>
          <w:bCs/>
          <w:b/>
        </w:rPr>
        <w:t xml:space="preserve">Functional Unit:</w:t>
      </w:r>
      <w:r>
        <w:t xml:space="preserve"> </w:t>
      </w:r>
      <w:r>
        <w:t xml:space="preserve">1.0 unit of udvsvxyout. This serves as the reference unit to which all inputs and outputs are normalized.</w:t>
      </w:r>
    </w:p>
    <w:p>
      <w:pPr>
        <w:numPr>
          <w:ilvl w:val="0"/>
          <w:numId w:val="1001"/>
        </w:numPr>
        <w:pStyle w:val="Compact"/>
      </w:pPr>
      <w:r>
        <w:rPr>
          <w:bCs/>
          <w:b/>
        </w:rPr>
        <w:t xml:space="preserve">System Boundary:</w:t>
      </w:r>
      <w:r>
        <w:t xml:space="preserve"> </w:t>
      </w:r>
      <w:r>
        <w:t xml:space="preserve">factory_gate. This implies a cradle-to-gate approach, extending to the point where the product leaves the manufacturing facility. However, given the request for use-phase and end-of-life calculations, the analysis will extend to a "cradle-to-grave" perspective, covering the entire product lifecycle to provide a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emission factors used for manufacturing energy and supply chain logistics.</w:t>
      </w:r>
    </w:p>
    <w:p>
      <w:pPr>
        <w:numPr>
          <w:ilvl w:val="0"/>
          <w:numId w:val="1001"/>
        </w:numPr>
        <w:pStyle w:val="Compact"/>
      </w:pPr>
      <w:r>
        <w:rPr>
          <w:bCs/>
          <w:b/>
        </w:rPr>
        <w:t xml:space="preserve">Accounting Standard:</w:t>
      </w:r>
      <w:r>
        <w:t xml:space="preserve"> </w:t>
      </w:r>
      <w:r>
        <w:t xml:space="preserve">GHG Protocol. Emissions are categorized into Scope 1 (direct), Scope 2 (purchased energy), and Scope 3 (value chain) in accordance with the GHG Protocol Corporate Standard and Product Standard.</w:t>
      </w:r>
    </w:p>
    <w:p>
      <w:pPr>
        <w:numPr>
          <w:ilvl w:val="0"/>
          <w:numId w:val="1001"/>
        </w:numPr>
        <w:pStyle w:val="Compact"/>
      </w:pPr>
      <w:r>
        <w:rPr>
          <w:bCs/>
          <w:b/>
        </w:rPr>
        <w:t xml:space="preserve">Allocation:</w:t>
      </w:r>
      <w:r>
        <w:t xml:space="preserve"> </w:t>
      </w:r>
      <w:r>
        <w:t xml:space="preserve">For a single product PCF, direct allocation of emissions to the functional unit is applied. Co-product allocation is not directly applicable in this context.</w:t>
      </w:r>
    </w:p>
    <w:p>
      <w:r>
        <w:pict>
          <v:rect style="width:0;height:1.5pt" o:hralign="center" o:hrstd="t" o:hr="t"/>
        </w:pict>
      </w:r>
    </w:p>
    <w:bookmarkEnd w:id="23"/>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The lifecycle of</w:t>
      </w:r>
      <w:r>
        <w:t xml:space="preserve"> </w:t>
      </w:r>
      <w:r>
        <w:rPr>
          <w:bCs/>
          <w:b/>
        </w:rPr>
        <w:t xml:space="preserve">udvsvxyout</w:t>
      </w:r>
      <w:r>
        <w:t xml:space="preserve"> </w:t>
      </w:r>
      <w:r>
        <w:t xml:space="preserve">is mapped across several stages to identify all relevant inputs and outputs. Given the placeholder nature of several key input parameters in the request, this section will outline the data points typically collected and will utilize illustrative example data for calculations.</w:t>
      </w:r>
    </w:p>
    <w:bookmarkStart w:id="24" w:name="Xa915186508dccabc67c55cbd3ebb6ef6bf1728e"/>
    <w:p>
      <w:pPr>
        <w:pStyle w:val="Heading3"/>
      </w:pPr>
      <w:r>
        <w:t xml:space="preserve">Data Input Assumptions (Illustrative Examples)</w:t>
      </w:r>
    </w:p>
    <w:p>
      <w:pPr>
        <w:pStyle w:val="FirstParagraph"/>
      </w:pPr>
      <w:r>
        <w:t xml:space="preserve">The following illustrative data has been adopted for the calculation phase, as specific numerical values for these parameters were not provided in a parseable format:</w:t>
      </w:r>
    </w:p>
    <w:p>
      <w:pPr>
        <w:numPr>
          <w:ilvl w:val="0"/>
          <w:numId w:val="1002"/>
        </w:numPr>
        <w:pStyle w:val="Compact"/>
      </w:pPr>
      <w:r>
        <w:rPr>
          <w:bCs/>
          <w:b/>
        </w:rPr>
        <w:t xml:space="preserve">Detailed Bill of Materials (BOM):</w:t>
      </w:r>
      <w:r>
        <w:t xml:space="preserve"> </w:t>
      </w:r>
      <w:r>
        <w:t xml:space="preserve">An example BOM representing typical product components.</w:t>
      </w:r>
    </w:p>
    <w:p>
      <w:pPr>
        <w:numPr>
          <w:ilvl w:val="0"/>
          <w:numId w:val="1002"/>
        </w:numPr>
        <w:pStyle w:val="Compact"/>
      </w:pPr>
      <w:r>
        <w:rPr>
          <w:bCs/>
          <w:b/>
        </w:rPr>
        <w:t xml:space="preserve">Transport Mode:</w:t>
      </w:r>
      <w:r>
        <w:t xml:space="preserve"> </w:t>
      </w:r>
      <w:r>
        <w:t xml:space="preserve">Primary transport by Heavy Goods Vehicle (HGV) and Last-Mile Delivery by Light Commercial Vehicle (LCV).</w:t>
      </w:r>
    </w:p>
    <w:p>
      <w:pPr>
        <w:numPr>
          <w:ilvl w:val="0"/>
          <w:numId w:val="1002"/>
        </w:numPr>
        <w:pStyle w:val="Compact"/>
      </w:pPr>
      <w:r>
        <w:rPr>
          <w:bCs/>
          <w:b/>
        </w:rPr>
        <w:t xml:space="preserve">Transport Distance:</w:t>
      </w:r>
      <w:r>
        <w:t xml:space="preserve"> </w:t>
      </w:r>
      <w:r>
        <w:t xml:space="preserve">1,500 km for primary transport to a central distribution hub, and 50 km for last-mile delivery to the end-user.</w:t>
      </w:r>
    </w:p>
    <w:p>
      <w:pPr>
        <w:numPr>
          <w:ilvl w:val="0"/>
          <w:numId w:val="1002"/>
        </w:numPr>
        <w:pStyle w:val="Compact"/>
      </w:pPr>
      <w:r>
        <w:rPr>
          <w:bCs/>
          <w:b/>
        </w:rPr>
        <w:t xml:space="preserve">Renewable Energy Usage (Production):</w:t>
      </w:r>
      <w:r>
        <w:t xml:space="preserve"> </w:t>
      </w:r>
      <w:r>
        <w:t xml:space="preserve">60% of electricity purchased for production is from renewable sources.</w:t>
      </w:r>
    </w:p>
    <w:p>
      <w:pPr>
        <w:numPr>
          <w:ilvl w:val="0"/>
          <w:numId w:val="1002"/>
        </w:numPr>
        <w:pStyle w:val="Compact"/>
      </w:pPr>
      <w:r>
        <w:rPr>
          <w:bCs/>
          <w:b/>
        </w:rPr>
        <w:t xml:space="preserve">Energy Intensity (Production):</w:t>
      </w:r>
      <w:r>
        <w:t xml:space="preserve"> </w:t>
      </w:r>
      <w:r>
        <w:t xml:space="preserve">7.5 kWh per unit of udvsvxyout.</w:t>
      </w:r>
    </w:p>
    <w:p>
      <w:pPr>
        <w:numPr>
          <w:ilvl w:val="0"/>
          <w:numId w:val="1002"/>
        </w:numPr>
        <w:pStyle w:val="Compact"/>
      </w:pPr>
      <w:r>
        <w:rPr>
          <w:bCs/>
          <w:b/>
        </w:rPr>
        <w:t xml:space="preserve">Product Lifespan:</w:t>
      </w:r>
      <w:r>
        <w:t xml:space="preserve"> </w:t>
      </w:r>
      <w:r>
        <w:t xml:space="preserve">4 years.</w:t>
      </w:r>
    </w:p>
    <w:p>
      <w:pPr>
        <w:numPr>
          <w:ilvl w:val="0"/>
          <w:numId w:val="1002"/>
        </w:numPr>
        <w:pStyle w:val="Compact"/>
      </w:pPr>
      <w:r>
        <w:rPr>
          <w:bCs/>
          <w:b/>
        </w:rPr>
        <w:t xml:space="preserve">Energy Consumption in Use:</w:t>
      </w:r>
      <w:r>
        <w:t xml:space="preserve"> </w:t>
      </w:r>
      <w:r>
        <w:t xml:space="preserve">15 kWh per year during the product\'s operational life.</w:t>
      </w:r>
    </w:p>
    <w:p>
      <w:pPr>
        <w:numPr>
          <w:ilvl w:val="0"/>
          <w:numId w:val="1002"/>
        </w:numPr>
        <w:pStyle w:val="Compact"/>
      </w:pPr>
      <w:r>
        <w:rPr>
          <w:bCs/>
          <w:b/>
        </w:rPr>
        <w:t xml:space="preserve">Recyclability Percentage:</w:t>
      </w:r>
      <w:r>
        <w:t xml:space="preserve"> </w:t>
      </w:r>
      <w:r>
        <w:t xml:space="preserve">75% of the product\'s mass is recyclable at end-of-life.</w:t>
      </w:r>
    </w:p>
    <w:p>
      <w:pPr>
        <w:numPr>
          <w:ilvl w:val="0"/>
          <w:numId w:val="1002"/>
        </w:numPr>
        <w:pStyle w:val="Compact"/>
      </w:pPr>
      <w:r>
        <w:rPr>
          <w:bCs/>
          <w:b/>
        </w:rPr>
        <w:t xml:space="preserve">Circular/Take-back Programs:</w:t>
      </w:r>
      <w:r>
        <w:t xml:space="preserve"> </w:t>
      </w:r>
      <w:r>
        <w:t xml:space="preserve">An active company-managed take-back and remanufacturing program is assumed to be in place, encouraging higher recycling rates and material recovery.</w:t>
      </w:r>
    </w:p>
    <w:bookmarkEnd w:id="24"/>
    <w:bookmarkStart w:id="25" w:name="X47f0ac77649612ab592b36231315c9717874d2a"/>
    <w:p>
      <w:pPr>
        <w:pStyle w:val="Heading3"/>
      </w:pPr>
      <w:r>
        <w:t xml:space="preserve">Material Inputs (Illustrative BOM - Scope 3, Category 1)</w:t>
      </w:r>
    </w:p>
    <w:p>
      <w:pPr>
        <w:pStyle w:val="FirstParagraph"/>
      </w:pPr>
      <w:r>
        <w:t xml:space="preserve">The illustrative Bill of Materials (BOM) for</w:t>
      </w:r>
      <w:r>
        <w:t xml:space="preserve"> </w:t>
      </w:r>
      <w:r>
        <w:rPr>
          <w:bCs/>
          <w:b/>
        </w:rPr>
        <w:t xml:space="preserve">udvsvxyout</w:t>
      </w:r>
      <w:r>
        <w:t xml:space="preserve">, including estimated cradle-to-gate emissions for each component, is presented below. These \'Total Carbon\' values represent the embedded emissions from material extraction, processing, and component manufacturing.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 (components +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3.75</w:t>
            </w:r>
          </w:p>
        </w:tc>
      </w:tr>
      <w:tr>
        <w:tc>
          <w:tcPr>
            <w:gridSpan w:val="4"/>
          </w:tcPr>
          <w:p>
            <w:pPr>
              <w:pStyle w:val="Compact"/>
              <w:jc w:val="left"/>
            </w:pPr>
            <w:r>
              <w:rPr>
                <w:bCs/>
                <w:b/>
              </w:rPr>
              <w:t xml:space="preserve">Total Illustrative Product Weight</w:t>
            </w:r>
          </w:p>
        </w:tc>
        <w:tc>
          <w:tcPr/>
          <w:p>
            <w:pPr>
              <w:pStyle w:val="Compact"/>
              <w:jc w:val="left"/>
            </w:pPr>
            <w:r>
              <w:rPr>
                <w:bCs/>
                <w:b/>
              </w:rPr>
              <w:t xml:space="preserve">0.85 kg</w:t>
            </w:r>
          </w:p>
        </w:tc>
        <w:tc>
          <w:tcPr/>
          <w:p>
            <w:pPr>
              <w:pStyle w:val="Compact"/>
            </w:pPr>
          </w:p>
        </w:tc>
        <w:tc>
          <w:tcPr/>
          <w:p>
            <w:pPr>
              <w:pStyle w:val="Compact"/>
            </w:pPr>
          </w:p>
        </w:tc>
        <w:tc>
          <w:tcPr/>
          <w:p>
            <w:pPr>
              <w:pStyle w:val="Compact"/>
            </w:pPr>
          </w:p>
        </w:tc>
      </w:tr>
      <w:tr>
        <w:tc>
          <w:tcPr>
            <w:gridSpan w:val="7"/>
          </w:tcPr>
          <w:p>
            <w:pPr>
              <w:pStyle w:val="Compact"/>
              <w:jc w:val="left"/>
            </w:pPr>
            <w:r>
              <w:rPr>
                <w:bCs/>
                <w:b/>
              </w:rPr>
              <w:t xml:space="preserve">Total Illustrative Material Emissions</w:t>
            </w:r>
          </w:p>
        </w:tc>
        <w:tc>
          <w:tcPr/>
          <w:p>
            <w:pPr>
              <w:pStyle w:val="Compact"/>
              <w:jc w:val="left"/>
            </w:pPr>
            <w:r>
              <w:rPr>
                <w:bCs/>
                <w:b/>
              </w:rPr>
              <w:t xml:space="preserve">9.35 kgCO2e</w:t>
            </w:r>
          </w:p>
        </w:tc>
      </w:tr>
    </w:tbl>
    <w:bookmarkEnd w:id="25"/>
    <w:bookmarkStart w:id="26" w:name="energy-inputs-production---scope-2"/>
    <w:p>
      <w:pPr>
        <w:pStyle w:val="Heading3"/>
      </w:pPr>
      <w:r>
        <w:t xml:space="preserve">Energy Inputs (Production - Scope 2)</w:t>
      </w:r>
    </w:p>
    <w:p>
      <w:pPr>
        <w:numPr>
          <w:ilvl w:val="0"/>
          <w:numId w:val="1003"/>
        </w:numPr>
        <w:pStyle w:val="Compact"/>
      </w:pPr>
      <w:r>
        <w:rPr>
          <w:bCs/>
          <w:b/>
        </w:rPr>
        <w:t xml:space="preserve">Total Energy Intensity:</w:t>
      </w:r>
      <w:r>
        <w:t xml:space="preserve"> </w:t>
      </w:r>
      <w:r>
        <w:t xml:space="preserve">7.5 kWh/unit [Illustrative]</w:t>
      </w:r>
    </w:p>
    <w:p>
      <w:pPr>
        <w:numPr>
          <w:ilvl w:val="0"/>
          <w:numId w:val="1003"/>
        </w:numPr>
        <w:pStyle w:val="Compact"/>
      </w:pPr>
      <w:r>
        <w:rPr>
          <w:bCs/>
          <w:b/>
        </w:rPr>
        <w:t xml:space="preserve">Renewable Energy Usage:</w:t>
      </w:r>
      <w:r>
        <w:t xml:space="preserve"> </w:t>
      </w:r>
      <w:r>
        <w:t xml:space="preserve">60% [Illustrative]</w:t>
      </w:r>
    </w:p>
    <w:p>
      <w:pPr>
        <w:numPr>
          <w:ilvl w:val="0"/>
          <w:numId w:val="1003"/>
        </w:numPr>
        <w:pStyle w:val="Compact"/>
      </w:pPr>
      <w:r>
        <w:rPr>
          <w:bCs/>
          <w:b/>
        </w:rPr>
        <w:t xml:space="preserve">Non-Renewable Energy:</w:t>
      </w:r>
      <w:r>
        <w:t xml:space="preserve"> </w:t>
      </w:r>
      <w:r>
        <w:t xml:space="preserve">7.5 kWh/unit * (1 - 0.60) = 3.0 kWh/unit</w:t>
      </w:r>
    </w:p>
    <w:p>
      <w:pPr>
        <w:numPr>
          <w:ilvl w:val="0"/>
          <w:numId w:val="1003"/>
        </w:numPr>
        <w:pStyle w:val="Compact"/>
      </w:pPr>
      <w:r>
        <w:rPr>
          <w:bCs/>
          <w:b/>
        </w:rPr>
        <w:t xml:space="preserve">Emission Factor for Grid Electricity (Europe):</w:t>
      </w:r>
      <w:r>
        <w:t xml:space="preserve"> </w:t>
      </w:r>
      <w:r>
        <w:t xml:space="preserve">0.19 kg CO2e/kWh (based on 2024 European average of 181 kg CO₂/MWh or 0.181 kg CO2e/kWh). Given \'China\' for final production, a specific China grid factor would be ideal. For illustrative purposes, we use a conservative European factor to reflect the supply chain focus, acknowledging this could vary significantly with actual China-specific data.</w:t>
      </w:r>
    </w:p>
    <w:bookmarkEnd w:id="26"/>
    <w:bookmarkStart w:id="27" w:name="X002a6d282f5150aa5aa6f8deb64236ee7671c46"/>
    <w:p>
      <w:pPr>
        <w:pStyle w:val="Heading3"/>
      </w:pPr>
      <w:r>
        <w:t xml:space="preserve">Logistics Data (Transport - Scope 3, Categories 4 &amp; 9)</w:t>
      </w:r>
    </w:p>
    <w:p>
      <w:pPr>
        <w:numPr>
          <w:ilvl w:val="0"/>
          <w:numId w:val="1004"/>
        </w:numPr>
        <w:pStyle w:val="Compact"/>
      </w:pPr>
      <w:r>
        <w:rPr>
          <w:bCs/>
          <w:b/>
        </w:rPr>
        <w:t xml:space="preserve">Primary Transport Mode:</w:t>
      </w:r>
      <w:r>
        <w:t xml:space="preserve"> </w:t>
      </w:r>
      <w:r>
        <w:t xml:space="preserve">Road Freight (Heavy Goods Vehicle) [Illustrative]</w:t>
      </w:r>
    </w:p>
    <w:p>
      <w:pPr>
        <w:numPr>
          <w:ilvl w:val="0"/>
          <w:numId w:val="1004"/>
        </w:numPr>
        <w:pStyle w:val="Compact"/>
      </w:pPr>
      <w:r>
        <w:rPr>
          <w:bCs/>
          <w:b/>
        </w:rPr>
        <w:t xml:space="preserve">Primary Transport Distance:</w:t>
      </w:r>
      <w:r>
        <w:t xml:space="preserve"> </w:t>
      </w:r>
      <w:r>
        <w:t xml:space="preserve">1,500 km [Illustrative]</w:t>
      </w:r>
    </w:p>
    <w:p>
      <w:pPr>
        <w:numPr>
          <w:ilvl w:val="0"/>
          <w:numId w:val="1004"/>
        </w:numPr>
        <w:pStyle w:val="Compact"/>
      </w:pPr>
      <w:r>
        <w:rPr>
          <w:bCs/>
          <w:b/>
        </w:rPr>
        <w:t xml:space="preserve">Last-Mile Delivery Channel:</w:t>
      </w:r>
      <w:r>
        <w:t xml:space="preserve"> </w:t>
      </w:r>
      <w:r>
        <w:t xml:space="preserve">Light Commercial Vehicle (LCV) [Illustrative]</w:t>
      </w:r>
    </w:p>
    <w:p>
      <w:pPr>
        <w:numPr>
          <w:ilvl w:val="0"/>
          <w:numId w:val="1004"/>
        </w:numPr>
        <w:pStyle w:val="Compact"/>
      </w:pPr>
      <w:r>
        <w:rPr>
          <w:bCs/>
          <w:b/>
        </w:rPr>
        <w:t xml:space="preserve">Last-Mile Delivery Distance:</w:t>
      </w:r>
      <w:r>
        <w:t xml:space="preserve"> </w:t>
      </w:r>
      <w:r>
        <w:t xml:space="preserve">50 km (estimated average) [Illustrative]</w:t>
      </w:r>
    </w:p>
    <w:p>
      <w:pPr>
        <w:numPr>
          <w:ilvl w:val="0"/>
          <w:numId w:val="1004"/>
        </w:numPr>
        <w:pStyle w:val="Compact"/>
      </w:pPr>
      <w:r>
        <w:rPr>
          <w:bCs/>
          <w:b/>
        </w:rPr>
        <w:t xml:space="preserve">Product Weight for Transport:</w:t>
      </w:r>
      <w:r>
        <w:t xml:space="preserve"> </w:t>
      </w:r>
      <w:r>
        <w:t xml:space="preserve">0.85 kg (from illustrative BOM)</w:t>
      </w:r>
    </w:p>
    <w:p>
      <w:pPr>
        <w:numPr>
          <w:ilvl w:val="0"/>
          <w:numId w:val="1004"/>
        </w:numPr>
        <w:pStyle w:val="Compact"/>
      </w:pPr>
      <w:r>
        <w:rPr>
          <w:bCs/>
          <w:b/>
        </w:rPr>
        <w:t xml:space="preserve">Emission Factor for Road Freight (HGV):</w:t>
      </w:r>
      <w:r>
        <w:t xml:space="preserve"> </w:t>
      </w:r>
      <w:r>
        <w:t xml:space="preserve">0.09 kg CO2e/tonne-km</w:t>
      </w:r>
    </w:p>
    <w:p>
      <w:pPr>
        <w:numPr>
          <w:ilvl w:val="0"/>
          <w:numId w:val="1004"/>
        </w:numPr>
        <w:pStyle w:val="Compact"/>
      </w:pPr>
      <w:r>
        <w:rPr>
          <w:bCs/>
          <w:b/>
        </w:rPr>
        <w:t xml:space="preserve">Emission Factor for Last-Mile Delivery (LCV):</w:t>
      </w:r>
      <w:r>
        <w:t xml:space="preserve"> </w:t>
      </w:r>
      <w:r>
        <w:t xml:space="preserve">0.25 kg CO2e/km</w:t>
      </w:r>
    </w:p>
    <w:bookmarkEnd w:id="27"/>
    <w:bookmarkStart w:id="28" w:name="use-phase-data-scope-3-category-11"/>
    <w:p>
      <w:pPr>
        <w:pStyle w:val="Heading3"/>
      </w:pPr>
      <w:r>
        <w:t xml:space="preserve">Use Phase Data (Scope 3, Category 11)</w:t>
      </w:r>
    </w:p>
    <w:p>
      <w:pPr>
        <w:numPr>
          <w:ilvl w:val="0"/>
          <w:numId w:val="1005"/>
        </w:numPr>
        <w:pStyle w:val="Compact"/>
      </w:pPr>
      <w:r>
        <w:rPr>
          <w:bCs/>
          <w:b/>
        </w:rPr>
        <w:t xml:space="preserve">Product Lifespan:</w:t>
      </w:r>
      <w:r>
        <w:t xml:space="preserve"> </w:t>
      </w:r>
      <w:r>
        <w:t xml:space="preserve">4 years [Illustrative]</w:t>
      </w:r>
    </w:p>
    <w:p>
      <w:pPr>
        <w:numPr>
          <w:ilvl w:val="0"/>
          <w:numId w:val="1005"/>
        </w:numPr>
        <w:pStyle w:val="Compact"/>
      </w:pPr>
      <w:r>
        <w:rPr>
          <w:bCs/>
          <w:b/>
        </w:rPr>
        <w:t xml:space="preserve">Energy Consumption in Use:</w:t>
      </w:r>
      <w:r>
        <w:t xml:space="preserve"> </w:t>
      </w:r>
      <w:r>
        <w:t xml:space="preserve">15 kWh/year [Illustrative]</w:t>
      </w:r>
    </w:p>
    <w:p>
      <w:pPr>
        <w:numPr>
          <w:ilvl w:val="0"/>
          <w:numId w:val="1005"/>
        </w:numPr>
        <w:pStyle w:val="Compact"/>
      </w:pPr>
      <w:r>
        <w:rPr>
          <w:bCs/>
          <w:b/>
        </w:rPr>
        <w:t xml:space="preserve">Emission Factor for Grid Electricity (Use Phase, generic):</w:t>
      </w:r>
      <w:r>
        <w:t xml:space="preserve"> </w:t>
      </w:r>
      <w:r>
        <w:t xml:space="preserve">0.19 kg CO2e/kWh (assumed global average, similar to manufacturing for consistency in this illustrative scenario)</w:t>
      </w:r>
    </w:p>
    <w:bookmarkEnd w:id="28"/>
    <w:bookmarkStart w:id="29" w:name="X3261202975bfccb1283f2bd5fabef2dfdbe9c90"/>
    <w:p>
      <w:pPr>
        <w:pStyle w:val="Heading3"/>
      </w:pPr>
      <w:r>
        <w:t xml:space="preserve">End-of-Life (EoL) Scenarios (Scope 3, Category 12)</w:t>
      </w:r>
    </w:p>
    <w:p>
      <w:pPr>
        <w:numPr>
          <w:ilvl w:val="0"/>
          <w:numId w:val="1006"/>
        </w:numPr>
        <w:pStyle w:val="Compact"/>
      </w:pPr>
      <w:r>
        <w:rPr>
          <w:bCs/>
          <w:b/>
        </w:rPr>
        <w:t xml:space="preserve">Recyclability Percentage:</w:t>
      </w:r>
      <w:r>
        <w:t xml:space="preserve"> </w:t>
      </w:r>
      <w:r>
        <w:t xml:space="preserve">75% [Illustrative]</w:t>
      </w:r>
    </w:p>
    <w:p>
      <w:pPr>
        <w:numPr>
          <w:ilvl w:val="0"/>
          <w:numId w:val="1006"/>
        </w:numPr>
        <w:pStyle w:val="Compact"/>
      </w:pPr>
      <w:r>
        <w:rPr>
          <w:bCs/>
          <w:b/>
        </w:rPr>
        <w:t xml:space="preserve">Circular/Take-back Programs:</w:t>
      </w:r>
      <w:r>
        <w:t xml:space="preserve"> </w:t>
      </w:r>
      <w:r>
        <w:t xml:space="preserve">Active company-managed take-back and remanufacturing program. This suggests a higher rate of actual recycling and potential for material reuse. [Illustrative]</w:t>
      </w:r>
    </w:p>
    <w:p>
      <w:pPr>
        <w:numPr>
          <w:ilvl w:val="0"/>
          <w:numId w:val="1006"/>
        </w:numPr>
        <w:pStyle w:val="Compact"/>
      </w:pPr>
      <w:r>
        <w:rPr>
          <w:bCs/>
          <w:b/>
        </w:rPr>
        <w:t xml:space="preserve">Total Product Weight for EoL:</w:t>
      </w:r>
      <w:r>
        <w:t xml:space="preserve"> </w:t>
      </w:r>
      <w:r>
        <w:t xml:space="preserve">0.85 kg (from illustrative BOM)</w:t>
      </w:r>
    </w:p>
    <w:p>
      <w:pPr>
        <w:numPr>
          <w:ilvl w:val="0"/>
          <w:numId w:val="1006"/>
        </w:numPr>
        <w:pStyle w:val="Compact"/>
      </w:pPr>
      <w:r>
        <w:rPr>
          <w:bCs/>
          <w:b/>
        </w:rPr>
        <w:t xml:space="preserve">Emission Factor for Landfill Disposal:</w:t>
      </w:r>
      <w:r>
        <w:t xml:space="preserve"> </w:t>
      </w:r>
      <w:r>
        <w:t xml:space="preserve">0.3 kg CO2e/kg for mixed waste (Illustrative, average based on conventional landfilling).</w:t>
      </w:r>
    </w:p>
    <w:p>
      <w:pPr>
        <w:numPr>
          <w:ilvl w:val="0"/>
          <w:numId w:val="1006"/>
        </w:numPr>
        <w:pStyle w:val="Compact"/>
      </w:pPr>
      <w:r>
        <w:rPr>
          <w:bCs/>
          <w:b/>
        </w:rPr>
        <w:t xml:space="preserve">Recycling Credit Factor (Illustrative Mixed Materials):</w:t>
      </w:r>
      <w:r>
        <w:t xml:space="preserve"> </w:t>
      </w:r>
      <w:r>
        <w:t xml:space="preserve">-1.0 kg CO2e/kg (Assumes avoided emissions from virgin production, an average for mixed materials, acknowledging significant material-specific variations).</w:t>
      </w:r>
    </w:p>
    <w:p>
      <w:r>
        <w:pict>
          <v:rect style="width:0;height:1.5pt" o:hralign="center" o:hrstd="t" o:hr="t"/>
        </w:pict>
      </w:r>
    </w:p>
    <w:bookmarkEnd w:id="29"/>
    <w:bookmarkEnd w:id="30"/>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life cycle stage and categorized according to the GHG Protocol Scopes. All calculations below use the illustrative example data and emission factors outlined above.</w:t>
      </w:r>
    </w:p>
    <w:bookmarkStart w:id="31" w:name="scope-1-emissions-direct-emissions"/>
    <w:p>
      <w:pPr>
        <w:pStyle w:val="Heading3"/>
      </w:pPr>
      <w:r>
        <w:t xml:space="preserve">Scope 1 Emissions (Direct Emissions)</w:t>
      </w:r>
    </w:p>
    <w:p>
      <w:pPr>
        <w:pStyle w:val="FirstParagraph"/>
      </w:pPr>
      <w:r>
        <w:t xml:space="preserve">Based on the provided parameters and illustrative data, direct emissions (Scope 1) from company-owned or controlled sources for the product\'s manufacturing are considered negligible or not quantifiable. No explicit fuel consumption for on-site machinery or company-owned fleet for this specific product\'s production process was provided. This category would typically include emissions from stationary combustion, process emissions, or fugitive emissions if applicable.</w:t>
      </w:r>
    </w:p>
    <w:p>
      <w:pPr>
        <w:pStyle w:val="BodyText"/>
      </w:pPr>
      <w:r>
        <w:rPr>
          <w:bCs/>
          <w:b/>
        </w:rPr>
        <w:t xml:space="preserve">Total Scope 1 Emissions: 0.00 kg CO2e</w:t>
      </w:r>
    </w:p>
    <w:bookmarkEnd w:id="31"/>
    <w:bookmarkStart w:id="32" w:name="scope-2-emissions-purchased-energy"/>
    <w:p>
      <w:pPr>
        <w:pStyle w:val="Heading3"/>
      </w:pPr>
      <w:r>
        <w:t xml:space="preserve">Scope 2 Emissions (Purchased Energy)</w:t>
      </w:r>
    </w:p>
    <w:p>
      <w:pPr>
        <w:pStyle w:val="FirstParagraph"/>
      </w:pPr>
      <w:r>
        <w:t xml:space="preserve">Emissions from the generation of purchased electricity for the manufacturing process.</w:t>
      </w:r>
    </w:p>
    <w:p>
      <w:pPr>
        <w:numPr>
          <w:ilvl w:val="0"/>
          <w:numId w:val="1007"/>
        </w:numPr>
        <w:pStyle w:val="Compact"/>
      </w:pPr>
      <w:r>
        <w:t xml:space="preserve">Non-Renewable Energy Consumption: 3.0 kWh/unit [Illustrative]</w:t>
      </w:r>
    </w:p>
    <w:p>
      <w:pPr>
        <w:numPr>
          <w:ilvl w:val="0"/>
          <w:numId w:val="1007"/>
        </w:numPr>
        <w:pStyle w:val="Compact"/>
      </w:pPr>
      <w:r>
        <w:t xml:space="preserve">Emission Factor (Grid Electricity): 0.19 kg CO2e/kWh</w:t>
      </w:r>
    </w:p>
    <w:p>
      <w:pPr>
        <w:numPr>
          <w:ilvl w:val="0"/>
          <w:numId w:val="1007"/>
        </w:numPr>
        <w:pStyle w:val="Compact"/>
      </w:pPr>
      <w:r>
        <w:rPr>
          <w:bCs/>
          <w:b/>
        </w:rPr>
        <w:t xml:space="preserve">Scope 2 Emissions =</w:t>
      </w:r>
      <w:r>
        <w:t xml:space="preserve"> </w:t>
      </w:r>
      <w:r>
        <w:t xml:space="preserve">3.0 kWh/unit * 0.19 kg CO2e/kWh =</w:t>
      </w:r>
      <w:r>
        <w:t xml:space="preserve"> </w:t>
      </w:r>
      <w:r>
        <w:rPr>
          <w:bCs/>
          <w:b/>
        </w:rPr>
        <w:t xml:space="preserve">0.57 kg CO2e</w:t>
      </w:r>
    </w:p>
    <w:bookmarkEnd w:id="32"/>
    <w:bookmarkStart w:id="38" w:name="scope-3-emissions-value-chain-emissions"/>
    <w:p>
      <w:pPr>
        <w:pStyle w:val="Heading3"/>
      </w:pPr>
      <w:r>
        <w:t xml:space="preserve">Scope 3 Emissions (Value Chain Emissions)</w:t>
      </w:r>
    </w:p>
    <w:p>
      <w:pPr>
        <w:pStyle w:val="FirstParagraph"/>
      </w:pPr>
      <w:r>
        <w:t xml:space="preserve">Scope 3 emissions encompass all other indirect emissions occurring in the value chain, both upstream and downstream.</w:t>
      </w:r>
    </w:p>
    <w:bookmarkStart w:id="33" w:name="X4eb318cf884fd0d5e8b1e3f55526e2cb341a877"/>
    <w:p>
      <w:pPr>
        <w:pStyle w:val="Heading4"/>
      </w:pPr>
      <w:r>
        <w:t xml:space="preserve">Scope 3, Category 1: Purchased Goods and Services (Materials)</w:t>
      </w:r>
    </w:p>
    <w:p>
      <w:pPr>
        <w:pStyle w:val="FirstParagraph"/>
      </w:pPr>
      <w:r>
        <w:t xml:space="preserve">Emissions associated with the extraction, production, and transportation of purchased materials and components.</w:t>
      </w:r>
    </w:p>
    <w:p>
      <w:pPr>
        <w:numPr>
          <w:ilvl w:val="0"/>
          <w:numId w:val="1008"/>
        </w:numPr>
        <w:pStyle w:val="Compact"/>
      </w:pPr>
      <w:r>
        <w:t xml:space="preserve">Total Illustrative Material Emissions (from BOM): 9.35 kg CO2e</w:t>
      </w:r>
    </w:p>
    <w:p>
      <w:pPr>
        <w:numPr>
          <w:ilvl w:val="0"/>
          <w:numId w:val="1008"/>
        </w:numPr>
        <w:pStyle w:val="Compact"/>
      </w:pPr>
      <w:r>
        <w:rPr>
          <w:bCs/>
          <w:b/>
        </w:rPr>
        <w:t xml:space="preserve">Scope 3, Category 1 Emissions: 9.35 kg CO2e</w:t>
      </w:r>
    </w:p>
    <w:bookmarkEnd w:id="33"/>
    <w:bookmarkStart w:id="34" w:name="X4585d7f170a30184fd68fa998cf0a71855fcb06"/>
    <w:p>
      <w:pPr>
        <w:pStyle w:val="Heading4"/>
      </w:pPr>
      <w:r>
        <w:t xml:space="preserve">Scope 3, Category 4: Upstream Transportation and Distribution (Primary Transport)</w:t>
      </w:r>
    </w:p>
    <w:p>
      <w:pPr>
        <w:pStyle w:val="FirstParagraph"/>
      </w:pPr>
      <w:r>
        <w:t xml:space="preserve">Emissions from transporting raw materials and components to the manufacturing facility.</w:t>
      </w:r>
    </w:p>
    <w:p>
      <w:pPr>
        <w:numPr>
          <w:ilvl w:val="0"/>
          <w:numId w:val="1009"/>
        </w:numPr>
        <w:pStyle w:val="Compact"/>
      </w:pPr>
      <w:r>
        <w:t xml:space="preserve">Product Weight: 0.85 kg = 0.00085 tonnes</w:t>
      </w:r>
    </w:p>
    <w:p>
      <w:pPr>
        <w:numPr>
          <w:ilvl w:val="0"/>
          <w:numId w:val="1009"/>
        </w:numPr>
        <w:pStyle w:val="Compact"/>
      </w:pPr>
      <w:r>
        <w:t xml:space="preserve">Transport Distance: 1,500 km [Illustrative]</w:t>
      </w:r>
    </w:p>
    <w:p>
      <w:pPr>
        <w:numPr>
          <w:ilvl w:val="0"/>
          <w:numId w:val="1009"/>
        </w:numPr>
        <w:pStyle w:val="Compact"/>
      </w:pPr>
      <w:r>
        <w:t xml:space="preserve">Emission Factor (HGV): 0.09 kg CO2e/tonne-km</w:t>
      </w:r>
    </w:p>
    <w:p>
      <w:pPr>
        <w:numPr>
          <w:ilvl w:val="0"/>
          <w:numId w:val="1009"/>
        </w:numPr>
        <w:pStyle w:val="Compact"/>
      </w:pPr>
      <w:r>
        <w:rPr>
          <w:bCs/>
          <w:b/>
        </w:rPr>
        <w:t xml:space="preserve">Scope 3, Category 4 Emissions =</w:t>
      </w:r>
      <w:r>
        <w:t xml:space="preserve"> </w:t>
      </w:r>
      <w:r>
        <w:t xml:space="preserve">0.00085 tonnes * 1,500 km * 0.09 kg CO2e/tonne-km =</w:t>
      </w:r>
      <w:r>
        <w:t xml:space="preserve"> </w:t>
      </w:r>
      <w:r>
        <w:rPr>
          <w:bCs/>
          <w:b/>
        </w:rPr>
        <w:t xml:space="preserve">0.11 kg CO2e</w:t>
      </w:r>
    </w:p>
    <w:bookmarkEnd w:id="34"/>
    <w:bookmarkStart w:id="35" w:name="Xdd3167f562017f01e1e4cb2f66f6d2fc3f34e8f"/>
    <w:p>
      <w:pPr>
        <w:pStyle w:val="Heading4"/>
      </w:pPr>
      <w:r>
        <w:t xml:space="preserve">Scope 3, Category 9: Downstream Transportation and Distribution (Last-Mile Delivery)</w:t>
      </w:r>
    </w:p>
    <w:p>
      <w:pPr>
        <w:pStyle w:val="FirstParagraph"/>
      </w:pPr>
      <w:r>
        <w:t xml:space="preserve">Emissions from transporting the finished product to the end-consumer.</w:t>
      </w:r>
    </w:p>
    <w:p>
      <w:pPr>
        <w:numPr>
          <w:ilvl w:val="0"/>
          <w:numId w:val="1010"/>
        </w:numPr>
        <w:pStyle w:val="Compact"/>
      </w:pPr>
      <w:r>
        <w:t xml:space="preserve">Last-Mile Delivery Distance: 50 km [Illustrative]</w:t>
      </w:r>
    </w:p>
    <w:p>
      <w:pPr>
        <w:numPr>
          <w:ilvl w:val="0"/>
          <w:numId w:val="1010"/>
        </w:numPr>
        <w:pStyle w:val="Compact"/>
      </w:pPr>
      <w:r>
        <w:t xml:space="preserve">Emission Factor (LCV): 0.25 kg CO2e/km</w:t>
      </w:r>
    </w:p>
    <w:p>
      <w:pPr>
        <w:numPr>
          <w:ilvl w:val="0"/>
          <w:numId w:val="1010"/>
        </w:numPr>
        <w:pStyle w:val="Compact"/>
      </w:pPr>
      <w:r>
        <w:rPr>
          <w:bCs/>
          <w:b/>
        </w:rPr>
        <w:t xml:space="preserve">Scope 3, Category 9 Emissions =</w:t>
      </w:r>
      <w:r>
        <w:t xml:space="preserve"> </w:t>
      </w:r>
      <w:r>
        <w:t xml:space="preserve">50 km * 0.25 kg CO2e/km =</w:t>
      </w:r>
      <w:r>
        <w:t xml:space="preserve"> </w:t>
      </w:r>
      <w:r>
        <w:rPr>
          <w:bCs/>
          <w:b/>
        </w:rPr>
        <w:t xml:space="preserve">12.50 kg CO2e</w:t>
      </w:r>
    </w:p>
    <w:bookmarkEnd w:id="35"/>
    <w:bookmarkStart w:id="36" w:name="scope-3-category-11-use-of-sold-products"/>
    <w:p>
      <w:pPr>
        <w:pStyle w:val="Heading4"/>
      </w:pPr>
      <w:r>
        <w:t xml:space="preserve">Scope 3, Category 11: Use of Sold Products</w:t>
      </w:r>
    </w:p>
    <w:p>
      <w:pPr>
        <w:pStyle w:val="FirstParagraph"/>
      </w:pPr>
      <w:r>
        <w:t xml:space="preserve">Emissions arising from the end-use of the product over its lifespan.</w:t>
      </w:r>
    </w:p>
    <w:p>
      <w:pPr>
        <w:numPr>
          <w:ilvl w:val="0"/>
          <w:numId w:val="1011"/>
        </w:numPr>
        <w:pStyle w:val="Compact"/>
      </w:pPr>
      <w:r>
        <w:t xml:space="preserve">Energy Consumption in Use (per year): 15 kWh/year [Illustrative]</w:t>
      </w:r>
    </w:p>
    <w:p>
      <w:pPr>
        <w:numPr>
          <w:ilvl w:val="0"/>
          <w:numId w:val="1011"/>
        </w:numPr>
        <w:pStyle w:val="Compact"/>
      </w:pPr>
      <w:r>
        <w:t xml:space="preserve">Product Lifespan: 4 years [Illustrative]</w:t>
      </w:r>
    </w:p>
    <w:p>
      <w:pPr>
        <w:numPr>
          <w:ilvl w:val="0"/>
          <w:numId w:val="1011"/>
        </w:numPr>
        <w:pStyle w:val="Compact"/>
      </w:pPr>
      <w:r>
        <w:t xml:space="preserve">Total Energy Consumption: 15 kWh/year * 4 years = 60 kWh</w:t>
      </w:r>
    </w:p>
    <w:p>
      <w:pPr>
        <w:numPr>
          <w:ilvl w:val="0"/>
          <w:numId w:val="1011"/>
        </w:numPr>
        <w:pStyle w:val="Compact"/>
      </w:pPr>
      <w:r>
        <w:t xml:space="preserve">Emission Factor (Grid Electricity): 0.19 kg CO2e/kWh</w:t>
      </w:r>
    </w:p>
    <w:p>
      <w:pPr>
        <w:numPr>
          <w:ilvl w:val="0"/>
          <w:numId w:val="1011"/>
        </w:numPr>
        <w:pStyle w:val="Compact"/>
      </w:pPr>
      <w:r>
        <w:rPr>
          <w:bCs/>
          <w:b/>
        </w:rPr>
        <w:t xml:space="preserve">Scope 3, Category 11 Emissions =</w:t>
      </w:r>
      <w:r>
        <w:t xml:space="preserve"> </w:t>
      </w:r>
      <w:r>
        <w:t xml:space="preserve">60 kWh * 0.19 kg CO2e/kWh =</w:t>
      </w:r>
      <w:r>
        <w:t xml:space="preserve"> </w:t>
      </w:r>
      <w:r>
        <w:rPr>
          <w:bCs/>
          <w:b/>
        </w:rPr>
        <w:t xml:space="preserve">11.40 kg CO2e</w:t>
      </w:r>
    </w:p>
    <w:bookmarkEnd w:id="36"/>
    <w:bookmarkStart w:id="37" w:name="X8a83d50c0d89d142371b1cb2678444c0262a9c4"/>
    <w:p>
      <w:pPr>
        <w:pStyle w:val="Heading4"/>
      </w:pPr>
      <w:r>
        <w:t xml:space="preserve">Scope 3, Category 12: End-of-Life Treatment of Sold Products</w:t>
      </w:r>
    </w:p>
    <w:p>
      <w:pPr>
        <w:pStyle w:val="FirstParagraph"/>
      </w:pPr>
      <w:r>
        <w:t xml:space="preserve">Emissions and avoided emissions associated with the disposal and recycling of the product at the end of its life.</w:t>
      </w:r>
    </w:p>
    <w:p>
      <w:pPr>
        <w:numPr>
          <w:ilvl w:val="0"/>
          <w:numId w:val="1012"/>
        </w:numPr>
        <w:pStyle w:val="Compact"/>
      </w:pPr>
      <w:r>
        <w:t xml:space="preserve">Total Product Weight: 0.85 kg</w:t>
      </w:r>
    </w:p>
    <w:p>
      <w:pPr>
        <w:numPr>
          <w:ilvl w:val="0"/>
          <w:numId w:val="1012"/>
        </w:numPr>
        <w:pStyle w:val="Compact"/>
      </w:pPr>
      <w:r>
        <w:t xml:space="preserve">Recyclable Portion: 0.85 kg * 75% = 0.6375 kg</w:t>
      </w:r>
    </w:p>
    <w:p>
      <w:pPr>
        <w:numPr>
          <w:ilvl w:val="0"/>
          <w:numId w:val="1012"/>
        </w:numPr>
        <w:pStyle w:val="Compact"/>
      </w:pPr>
      <w:r>
        <w:t xml:space="preserve">Disposed Portion: 0.85 kg * (1 - 75%) = 0.2125 kg</w:t>
      </w:r>
    </w:p>
    <w:p>
      <w:pPr>
        <w:numPr>
          <w:ilvl w:val="0"/>
          <w:numId w:val="1012"/>
        </w:numPr>
        <w:pStyle w:val="Compact"/>
      </w:pPr>
      <w:r>
        <w:t xml:space="preserve">Emissions from Disposal (Landfill): 0.2125 kg * 0.3 kg CO2e/kg = 0.06 kg CO2e</w:t>
      </w:r>
    </w:p>
    <w:p>
      <w:pPr>
        <w:numPr>
          <w:ilvl w:val="0"/>
          <w:numId w:val="1012"/>
        </w:numPr>
        <w:pStyle w:val="Compact"/>
      </w:pPr>
      <w:r>
        <w:t xml:space="preserve">Credits from Recycling: 0.6375 kg * (-1.0 kg CO2e/kg) = -0.64 kg CO2e</w:t>
      </w:r>
    </w:p>
    <w:p>
      <w:pPr>
        <w:numPr>
          <w:ilvl w:val="0"/>
          <w:numId w:val="1012"/>
        </w:numPr>
        <w:pStyle w:val="Compact"/>
      </w:pPr>
      <w:r>
        <w:rPr>
          <w:bCs/>
          <w:b/>
        </w:rPr>
        <w:t xml:space="preserve">Scope 3, Category 12 Emissions:</w:t>
      </w:r>
      <w:r>
        <w:t xml:space="preserve"> </w:t>
      </w:r>
      <w:r>
        <w:t xml:space="preserve">0.06 kg CO2e + (-0.64 kg CO2e) =</w:t>
      </w:r>
      <w:r>
        <w:t xml:space="preserve"> </w:t>
      </w:r>
      <w:r>
        <w:rPr>
          <w:bCs/>
          <w:b/>
        </w:rPr>
        <w:t xml:space="preserve">-0.58 kg CO2e</w:t>
      </w:r>
      <w:r>
        <w:t xml:space="preserve"> </w:t>
      </w:r>
      <w:r>
        <w:t xml:space="preserve">(net credit)</w:t>
      </w:r>
    </w:p>
    <w:bookmarkEnd w:id="37"/>
    <w:bookmarkEnd w:id="38"/>
    <w:bookmarkStart w:id="39"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Emissions (kg CO2e per functional 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0.57</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9.35</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0.11</w:t>
            </w:r>
          </w:p>
        </w:tc>
      </w:tr>
      <w:tr>
        <w:tc>
          <w:tcPr/>
          <w:p>
            <w:pPr>
              <w:pStyle w:val="Compact"/>
              <w:jc w:val="left"/>
            </w:pPr>
            <w:r>
              <w:t xml:space="preserve">Scope 3, Category 9</w:t>
            </w:r>
          </w:p>
        </w:tc>
        <w:tc>
          <w:tcPr/>
          <w:p>
            <w:pPr>
              <w:pStyle w:val="Compact"/>
              <w:jc w:val="left"/>
            </w:pPr>
            <w:r>
              <w:t xml:space="preserve">Downstream Transportation and Distribution (Last-Mile)</w:t>
            </w:r>
          </w:p>
        </w:tc>
        <w:tc>
          <w:tcPr/>
          <w:p>
            <w:pPr>
              <w:pStyle w:val="Compact"/>
              <w:jc w:val="left"/>
            </w:pPr>
            <w:r>
              <w:t xml:space="preserve">12.50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11.40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-0.58</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33.35 kg CO2e</w:t>
            </w:r>
          </w:p>
        </w:tc>
      </w:tr>
    </w:tbl>
    <w:p>
      <w:r>
        <w:pict>
          <v:rect style="width:0;height:1.5pt" o:hralign="center" o:hrstd="t" o:hr="t"/>
        </w:pict>
      </w:r>
    </w:p>
    <w:bookmarkEnd w:id="39"/>
    <w:bookmarkEnd w:id="40"/>
    <w:bookmarkStart w:id="47"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illustrative analysis, the primary emission hotspots for</w:t>
      </w:r>
      <w:r>
        <w:t xml:space="preserve"> </w:t>
      </w:r>
      <w:r>
        <w:rPr>
          <w:bCs/>
          <w:b/>
        </w:rPr>
        <w:t xml:space="preserve">udvsvxyout</w:t>
      </w:r>
      <w:r>
        <w:t xml:space="preserve"> </w:t>
      </w:r>
      <w:r>
        <w:t xml:space="preserve">are:</w:t>
      </w:r>
    </w:p>
    <w:p>
      <w:pPr>
        <w:numPr>
          <w:ilvl w:val="0"/>
          <w:numId w:val="1013"/>
        </w:numPr>
        <w:pStyle w:val="Compact"/>
      </w:pPr>
      <w:r>
        <w:rPr>
          <w:bCs/>
          <w:b/>
        </w:rPr>
        <w:t xml:space="preserve">Downstream Transportation and Distribution (Last-Mile Delivery):</w:t>
      </w:r>
      <w:r>
        <w:t xml:space="preserve"> </w:t>
      </w:r>
      <w:r>
        <w:t xml:space="preserve">At 12.50 kg CO2e, this stage represents a significant portion of the total footprint, highlighting the impact of individual product deliveries. This is categorized under Scope 3, Category 9.</w:t>
      </w:r>
    </w:p>
    <w:p>
      <w:pPr>
        <w:numPr>
          <w:ilvl w:val="0"/>
          <w:numId w:val="1013"/>
        </w:numPr>
        <w:pStyle w:val="Compact"/>
      </w:pPr>
      <w:r>
        <w:rPr>
          <w:bCs/>
          <w:b/>
        </w:rPr>
        <w:t xml:space="preserve">Use of Sold Products:</w:t>
      </w:r>
      <w:r>
        <w:t xml:space="preserve"> </w:t>
      </w:r>
      <w:r>
        <w:t xml:space="preserve">The energy consumption during the product\'s 4-year lifespan contributes 11.40 kg CO2e (Scope 3, Category 11). This is directly linked to the product\'s energy efficiency and the carbon intensity of the electricity grid used by consumers.</w:t>
      </w:r>
    </w:p>
    <w:p>
      <w:pPr>
        <w:numPr>
          <w:ilvl w:val="0"/>
          <w:numId w:val="1013"/>
        </w:numPr>
        <w:pStyle w:val="Compact"/>
      </w:pPr>
      <w:r>
        <w:rPr>
          <w:bCs/>
          <w:b/>
        </w:rPr>
        <w:t xml:space="preserve">Purchased Goods and Services (Materials):</w:t>
      </w:r>
      <w:r>
        <w:t xml:space="preserve"> </w:t>
      </w:r>
      <w:r>
        <w:t xml:space="preserve">The upstream emissions from raw material extraction and processing account for 9.35 kg CO2e (Scope 3, Category 1). This emphasizes the importance of sustainable material sourcing and design.</w:t>
      </w:r>
    </w:p>
    <w:bookmarkEnd w:id="41"/>
    <w:bookmarkStart w:id="42" w:name="reliability-and-limitations"/>
    <w:p>
      <w:pPr>
        <w:pStyle w:val="Heading3"/>
      </w:pPr>
      <w:r>
        <w:t xml:space="preserve">Reliability and Limitations</w:t>
      </w:r>
    </w:p>
    <w:p>
      <w:pPr>
        <w:pStyle w:val="FirstParagraph"/>
      </w:pPr>
      <w:r>
        <w:t xml:space="preserve">The reliability of this PCF report is directly linked to the quality and precision of the input data. A significant limitation of this report is the use of illustrative example data for key parameters due to the placeholder strings provided in the initial request. For a truly high-accuracy PCF, primary data for all life cycle stages, including specific Bill of Materials, precise transport logistics, actual energy consumption and mix, and detailed end-of-life routes, would be essential. Generic or regional average emission factors have been used where specific data was unavailable. Therefore, the results presented here serve primarily as a demonstration of the methodology and a high-level indication of potential hotspots.</w:t>
      </w:r>
    </w:p>
    <w:bookmarkEnd w:id="42"/>
    <w:bookmarkStart w:id="43" w:name="X25ab271e0b973df754491ec5ddcb2d245f47eaf"/>
    <w:p>
      <w:pPr>
        <w:pStyle w:val="Heading3"/>
      </w:pPr>
      <w:r>
        <w:t xml:space="preserve">GHG Protocol Adherence and 2026 LSR Update</w:t>
      </w:r>
    </w:p>
    <w:p>
      <w:pPr>
        <w:pStyle w:val="FirstParagraph"/>
      </w:pPr>
      <w:r>
        <w:t xml:space="preserve">This analysis adheres to the principles and requirements of the GHG Protocol. Emissions have been categorized into Scope 1, Scope 2, and Scope 3 as mandated.</w:t>
      </w:r>
    </w:p>
    <w:p>
      <w:pPr>
        <w:pStyle w:val="BodyText"/>
      </w:pPr>
      <w:r>
        <w:rPr>
          <w:bCs/>
          <w:b/>
        </w:rPr>
        <w:t xml:space="preserve">2026 LSR Update:</w:t>
      </w:r>
      <w:r>
        <w:t xml:space="preserve"> </w:t>
      </w:r>
      <w:r>
        <w:t xml:space="preserve">The Land Sector and Removals (LSR) Standard, released on January 30, 2026, and effective January 1, 2027, provides requirements and guidance for accounting and reporting GHG emissions and removals from land use activities. While direct land-use activities for the manufacturing of</w:t>
      </w:r>
      <w:r>
        <w:t xml:space="preserve"> </w:t>
      </w:r>
      <w:r>
        <w:rPr>
          <w:bCs/>
          <w:b/>
        </w:rPr>
        <w:t xml:space="preserve">udvsvxyout</w:t>
      </w:r>
      <w:r>
        <w:t xml:space="preserve"> </w:t>
      </w:r>
      <w:r>
        <w:t xml:space="preserve">were not explicitly provided, the LSR Standard is highly relevant for the upstream supply chain of materials (e.g., agricultural feedstocks, forestry products, if applicable). Future iterations of this PCF should integrate detailed land-use change and land management biogenic CO2 emissions and removals for relevant components in the supply chain, as required by the LSR Standard. Companies reporting on removals must do so as a separate accounting category.</w:t>
      </w:r>
    </w:p>
    <w:p>
      <w:pPr>
        <w:pStyle w:val="BodyText"/>
      </w:pPr>
      <w:r>
        <w:rPr>
          <w:bCs/>
          <w:b/>
        </w:rPr>
        <w:t xml:space="preserve">Scope 3 Compliance:</w:t>
      </w:r>
      <w:r>
        <w:t xml:space="preserve"> </w:t>
      </w:r>
      <w:r>
        <w:t xml:space="preserve">We affirm the commitment to ensure at least 95% coverage for Scope 3 reporting, as per the 2026 requirements. For a complete and compliant report,</w:t>
      </w:r>
      <w:r>
        <w:t xml:space="preserve"> </w:t>
      </w:r>
      <w:r>
        <w:rPr>
          <w:bCs/>
          <w:b/>
        </w:rPr>
        <w:t xml:space="preserve">esgnwpveqg</w:t>
      </w:r>
      <w:r>
        <w:t xml:space="preserve"> </w:t>
      </w:r>
      <w:r>
        <w:t xml:space="preserve">must engage with its entire value chain to collect robust primary data for all 15 Scope 3 categories, minimizing reliance on secondary data and estimates.</w:t>
      </w:r>
    </w:p>
    <w:bookmarkEnd w:id="43"/>
    <w:bookmarkStart w:id="46" w:name="recommendations"/>
    <w:p>
      <w:pPr>
        <w:pStyle w:val="Heading3"/>
      </w:pPr>
      <w:r>
        <w:t xml:space="preserve">Recommendations</w:t>
      </w:r>
    </w:p>
    <w:p>
      <w:pPr>
        <w:pStyle w:val="FirstParagraph"/>
      </w:pPr>
      <w:r>
        <w:t xml:space="preserve">To reduce the PCF of</w:t>
      </w:r>
      <w:r>
        <w:t xml:space="preserve"> </w:t>
      </w:r>
      <w:r>
        <w:rPr>
          <w:bCs/>
          <w:b/>
        </w:rPr>
        <w:t xml:space="preserve">udvsvxyout</w:t>
      </w:r>
      <w:r>
        <w:t xml:space="preserve">,</w:t>
      </w:r>
      <w:r>
        <w:t xml:space="preserve"> </w:t>
      </w:r>
      <w:r>
        <w:rPr>
          <w:bCs/>
          <w:b/>
        </w:rPr>
        <w:t xml:space="preserve">esgnwpveqg</w:t>
      </w:r>
      <w:r>
        <w:t xml:space="preserve"> </w:t>
      </w:r>
      <w:r>
        <w:t xml:space="preserve">should focus on:</w:t>
      </w:r>
    </w:p>
    <w:p>
      <w:pPr>
        <w:numPr>
          <w:ilvl w:val="0"/>
          <w:numId w:val="1014"/>
        </w:numPr>
        <w:pStyle w:val="Compact"/>
      </w:pPr>
      <w:r>
        <w:rPr>
          <w:bCs/>
          <w:b/>
        </w:rPr>
        <w:t xml:space="preserve">Optimizing Downstream Logistics:</w:t>
      </w:r>
      <w:r>
        <w:t xml:space="preserve"> </w:t>
      </w:r>
      <w:r>
        <w:t xml:space="preserve">Investigate more efficient last-mile delivery options, such as electric vehicles, route optimization, or localized distribution centers, to mitigate the significant emissions from this stage.</w:t>
      </w:r>
    </w:p>
    <w:p>
      <w:pPr>
        <w:numPr>
          <w:ilvl w:val="0"/>
          <w:numId w:val="1014"/>
        </w:numPr>
        <w:pStyle w:val="Compact"/>
      </w:pPr>
      <w:r>
        <w:rPr>
          <w:bCs/>
          <w:b/>
        </w:rPr>
        <w:t xml:space="preserve">Enhancing Product Energy Efficiency:</w:t>
      </w:r>
      <w:r>
        <w:t xml:space="preserve"> </w:t>
      </w:r>
      <w:r>
        <w:t xml:space="preserve">Improve the energy efficiency of</w:t>
      </w:r>
      <w:r>
        <w:t xml:space="preserve"> </w:t>
      </w:r>
      <w:r>
        <w:rPr>
          <w:bCs/>
          <w:b/>
        </w:rPr>
        <w:t xml:space="preserve">udvsvxyout</w:t>
      </w:r>
      <w:r>
        <w:t xml:space="preserve"> </w:t>
      </w:r>
      <w:r>
        <w:t xml:space="preserve">during its use phase to reduce consumer electricity consumption, especially if used in regions with high-carbon grids.</w:t>
      </w:r>
    </w:p>
    <w:p>
      <w:pPr>
        <w:numPr>
          <w:ilvl w:val="0"/>
          <w:numId w:val="1014"/>
        </w:numPr>
        <w:pStyle w:val="Compact"/>
      </w:pPr>
      <w:r>
        <w:rPr>
          <w:bCs/>
          <w:b/>
        </w:rPr>
        <w:t xml:space="preserve">Sustainable Material Sourcing:</w:t>
      </w:r>
      <w:r>
        <w:t xml:space="preserve"> </w:t>
      </w:r>
      <w:r>
        <w:t xml:space="preserve">Collaborate with suppliers to source lower-carbon materials, explore recycled content, and optimize material efficiency to reduce upstream emissions.</w:t>
      </w:r>
    </w:p>
    <w:p>
      <w:pPr>
        <w:numPr>
          <w:ilvl w:val="0"/>
          <w:numId w:val="1014"/>
        </w:numPr>
        <w:pStyle w:val="Compact"/>
      </w:pPr>
      <w:r>
        <w:rPr>
          <w:bCs/>
          <w:b/>
        </w:rPr>
        <w:t xml:space="preserve">Strengthening Circularity:</w:t>
      </w:r>
      <w:r>
        <w:t xml:space="preserve"> </w:t>
      </w:r>
      <w:r>
        <w:t xml:space="preserve">Further develop and promote the existing take-back and refurbishment programs to maximize material recovery and reuse, going beyond mere recycling to true circularity.</w:t>
      </w:r>
    </w:p>
    <w:p>
      <w:pPr>
        <w:numPr>
          <w:ilvl w:val="0"/>
          <w:numId w:val="1014"/>
        </w:numPr>
        <w:pStyle w:val="Compact"/>
      </w:pPr>
      <w:r>
        <w:rPr>
          <w:bCs/>
          <w:b/>
        </w:rPr>
        <w:t xml:space="preserve">Data Collection Improvement:</w:t>
      </w:r>
      <w:r>
        <w:t xml:space="preserve"> </w:t>
      </w:r>
      <w:r>
        <w:t xml:space="preserve">Implement robust systems for collecting primary data across the entire value chain to enable more accurate PCF calculations and targeted emission reduction strategies.</w:t>
      </w:r>
    </w:p>
    <w:p>
      <w:pPr>
        <w:pStyle w:val="FirstParagraph"/>
      </w:pPr>
      <w:r>
        <w:t xml:space="preserve">Confidential - Internal Use Only</w:t>
      </w:r>
    </w:p>
    <w:p>
      <w:pPr>
        <w:pStyle w:val="BodyText"/>
      </w:pPr>
      <w:r>
        <w:t xml:space="preserve">Page</w:t>
      </w:r>
      <w:r>
        <w:t xml:space="preserve"> </w:t>
      </w:r>
      <w:bookmarkStart w:id="44" w:name="page-number"/>
      <w:bookmarkEnd w:id="44"/>
      <w:r>
        <w:t xml:space="preserve"> </w:t>
      </w:r>
      <w:r>
        <w:t xml:space="preserve">of</w:t>
      </w:r>
      <w:r>
        <w:t xml:space="preserve"> </w:t>
      </w:r>
      <w:bookmarkStart w:id="45" w:name="total-pages"/>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udvsvxyout</dc:title>
  <dc:creator/>
  <dc:description>Detailed Product Carbon Footprint (PCF) analysis report for product udvsvxyout by esgnwpveqg, adhering to GHG Protocol and 2026 LSR Standard.</dc:description>
  <dc:language>en</dc:language>
  <cp:keywords/>
  <dcterms:created xsi:type="dcterms:W3CDTF">2026-07-15T09:30:59Z</dcterms:created>
  <dcterms:modified xsi:type="dcterms:W3CDTF">2026-07-15T09:30:59Z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