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udlfevdnfw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dlfevdnfw"/>
    <w:p>
      <w:pPr>
        <w:pStyle w:val="Heading2"/>
      </w:pPr>
      <w:r>
        <w:t xml:space="preserve">For Product: udlfevdnfw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swweyoxxom</w:t>
      </w:r>
    </w:p>
    <w:p>
      <w:pPr>
        <w:pStyle w:val="BodyText"/>
      </w:pPr>
      <w:r>
        <w:rPr>
          <w:bCs/>
          <w:b/>
        </w:rPr>
        <w:t xml:space="preserve">Senior Sustainability Consultant:</w:t>
      </w:r>
      <w:r>
        <w:t xml:space="preserve"> </w:t>
      </w:r>
      <w:r>
        <w:t xml:space="preserve">qxnsgdxfex</w:t>
      </w:r>
    </w:p>
    <w:p>
      <w:pPr>
        <w:pStyle w:val="BodyText"/>
      </w:pPr>
      <w:r>
        <w:t xml:space="preserve">Disclaimer: This report is generated based on available data, placeholder values for specific parameters (as indicated), and industry standards. While efforts have been made to ensure accuracy and adherence to the GHG Protocol, primary data collection for all inputs would provide the most precise results.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udlfevdnfw</w:t>
      </w:r>
    </w:p>
    <w:p>
      <w:pPr>
        <w:pStyle w:val="BodyText"/>
      </w:pPr>
      <w:r>
        <w:rPr>
          <w:bCs/>
          <w:b/>
        </w:rPr>
        <w:t xml:space="preserve">Generated Date:</w:t>
      </w:r>
      <w:r>
        <w:t xml:space="preserve"> </w:t>
      </w:r>
      <w:r>
        <w:t xml:space="preserve">May 27,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`udlfevdnfw`, a Smart Sensor Unit produced by `swweyoxxom`. The analysis was conducted by `qxnsgdxfex`, Senior Sustainability Consultant, in accordance with the Greenhouse Gas (GHG) Protocol. The assessment utilizes a Cradle-to-Grave approach, encompassing raw material acquisition, manufacturing, transportation, use phase, and end-of-life. Key findings indicate that the total carbon footprint for one functional unit of `udlfevdnfw` is approximately 21.15 kgCO2e. Significant hotspots include downstream transportation (especially last-mile delivery) and the emissions associated with key electronic components and the battery. This report also incorporates considerations from the 2026 updates to the GHG Protocol, including the 95% Scope 3 completeness rule and the Land Sector and Removals (LSR) Standard.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first step in this Product Carbon Footprint (PCF) analysis is to clearly define the scope of the assessment, ensuring consistency and transparency.</w:t>
      </w:r>
    </w:p>
    <w:p>
      <w:pPr>
        <w:numPr>
          <w:ilvl w:val="0"/>
          <w:numId w:val="1001"/>
        </w:numPr>
        <w:pStyle w:val="Compact"/>
      </w:pPr>
      <w:r>
        <w:rPr>
          <w:bCs/>
          <w:b/>
        </w:rPr>
        <w:t xml:space="preserve">Functional Unit:</w:t>
      </w:r>
      <w:r>
        <w:t xml:space="preserve"> </w:t>
      </w:r>
      <w:r>
        <w:t xml:space="preserve">The functional unit for this study is 1.0 unit of the `udlfevdnfw` Smart Sensor Unit. All emissions are calculated per this unit.</w:t>
      </w:r>
    </w:p>
    <w:p>
      <w:pPr>
        <w:numPr>
          <w:ilvl w:val="0"/>
          <w:numId w:val="1001"/>
        </w:numPr>
        <w:pStyle w:val="Compact"/>
      </w:pPr>
      <w:r>
        <w:rPr>
          <w:bCs/>
          <w:b/>
        </w:rPr>
        <w:t xml:space="preserve">System Boundary:</w:t>
      </w:r>
      <w:r>
        <w:t xml:space="preserve"> </w:t>
      </w:r>
      <w:r>
        <w:t xml:space="preserve">A "Cradle-to-Grave" system boundary has been adopted for this PCF analysis. While the primary production boundary specified was "factory_gate", a comprehensive PCF for `udlfevdnfw` necessitates the inclusion of the entire product lifecycle to identify all significant impacts. This includes:</w:t>
      </w:r>
    </w:p>
    <w:p>
      <w:pPr>
        <w:numPr>
          <w:ilvl w:val="1"/>
          <w:numId w:val="1002"/>
        </w:numPr>
        <w:pStyle w:val="Compact"/>
      </w:pPr>
      <w:r>
        <w:t xml:space="preserve">Raw Material Acquisition &amp; Pre-processing</w:t>
      </w:r>
    </w:p>
    <w:p>
      <w:pPr>
        <w:numPr>
          <w:ilvl w:val="1"/>
          <w:numId w:val="1002"/>
        </w:numPr>
        <w:pStyle w:val="Compact"/>
      </w:pPr>
      <w:r>
        <w:t xml:space="preserve">Manufacturing (at `swweyoxxom`\'s facility)</w:t>
      </w:r>
    </w:p>
    <w:p>
      <w:pPr>
        <w:numPr>
          <w:ilvl w:val="1"/>
          <w:numId w:val="1002"/>
        </w:numPr>
        <w:pStyle w:val="Compact"/>
      </w:pPr>
      <w:r>
        <w:t xml:space="preserve">Transportation (Upstream to factory, Downstream to customer)</w:t>
      </w:r>
    </w:p>
    <w:p>
      <w:pPr>
        <w:numPr>
          <w:ilvl w:val="1"/>
          <w:numId w:val="1002"/>
        </w:numPr>
        <w:pStyle w:val="Compact"/>
      </w:pPr>
      <w:r>
        <w:t xml:space="preserve">Product Use Phase</w:t>
      </w:r>
    </w:p>
    <w:p>
      <w:pPr>
        <w:numPr>
          <w:ilvl w:val="1"/>
          <w:numId w:val="1002"/>
        </w:numPr>
        <w:pStyle w:val="Compact"/>
      </w:pPr>
      <w:r>
        <w:t xml:space="preserve">End-of-Life Treatment (disposal and recycling)</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material sourcing and initial component manufacturing.</w:t>
      </w:r>
    </w:p>
    <w:p>
      <w:pPr>
        <w:numPr>
          <w:ilvl w:val="1"/>
          <w:numId w:val="1003"/>
        </w:numPr>
        <w:pStyle w:val="Compact"/>
      </w:pPr>
      <w:r>
        <w:rPr>
          <w:bCs/>
          <w:b/>
        </w:rPr>
        <w:t xml:space="preserve">Use Phase and End-of-Life:</w:t>
      </w:r>
      <w:r>
        <w:t xml:space="preserve"> </w:t>
      </w:r>
      <w:r>
        <w:t xml:space="preserve">Assumed to occur primarily within Europe.</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Scope 2 (purchased electricity), and Scope 3 (all other indirect value chain emissions).</w:t>
      </w:r>
    </w:p>
    <w:p>
      <w:pPr>
        <w:numPr>
          <w:ilvl w:val="0"/>
          <w:numId w:val="1001"/>
        </w:numPr>
        <w:pStyle w:val="Compact"/>
      </w:pPr>
      <w:r>
        <w:rPr>
          <w:bCs/>
          <w:b/>
        </w:rPr>
        <w:t xml:space="preserve">Allocation:</w:t>
      </w:r>
      <w:r>
        <w:t xml:space="preserve"> </w:t>
      </w:r>
      <w:r>
        <w:t xml:space="preserve">No significant co-products are assumed for `udlfevdnfw`\'s production. For end-of-life, the avoided burden approach (or "closed-loop allocation") is used for recycled materials, crediting the system for materials recovered and reducing the demand for virgin materials.</w:t>
      </w:r>
    </w:p>
    <w:p>
      <w:r>
        <w:pict>
          <v:rect style="width:0;height:1.5pt" o:hralign="center" o:hrstd="t" o:hr="t"/>
        </w:pict>
      </w:r>
    </w:p>
    <w:bookmarkEnd w:id="24"/>
    <w:bookmarkStart w:id="30" w:name="X2bf58de29a7a901ba932b9a6a779f7f86e80a1b"/>
    <w:p>
      <w:pPr>
        <w:pStyle w:val="Heading2"/>
      </w:pPr>
      <w:r>
        <w:t xml:space="preserve">2. &amp; 3. Lifecycle Mapping and Data Collection (LCI Inventory)</w:t>
      </w:r>
    </w:p>
    <w:p>
      <w:pPr>
        <w:pStyle w:val="FirstParagraph"/>
      </w:pPr>
      <w:r>
        <w:t xml:space="preserve">This section details the lifecycle stages mapped for `udlfevdnfw` and the data collected, utilizing both primary (where provided or proxied) and secondary (industry-average emission factors) data points. Placeholder values are used where specific company data was not provided, as indicated.</w:t>
      </w:r>
    </w:p>
    <w:bookmarkStart w:id="25" w:name="raw-material-acquisition-pre-processing"/>
    <w:p>
      <w:pPr>
        <w:pStyle w:val="Heading3"/>
      </w:pPr>
      <w:r>
        <w:t xml:space="preserve">2.1. Raw Material Acquisition &amp; Pre-processing</w:t>
      </w:r>
    </w:p>
    <w:p>
      <w:pPr>
        <w:pStyle w:val="FirstParagraph"/>
      </w:pPr>
      <w:r>
        <w:t xml:space="preserve">The Bill of Materials (BOM) for `udlfevdnfw` (`euqympky`) forms the basis of the material impact calculation. The following table presents the detailed material breakdown, quantity, and associated carbon emissions based on industry-standard emission factors.</w:t>
      </w:r>
    </w:p>
    <w:p>
      <w:pPr>
        <w:pStyle w:val="BodyText"/>
      </w:pPr>
      <w:r>
        <w:rPr>
          <w:iCs/>
          <w:i/>
        </w:rPr>
        <w:t xml:space="preserve">Note: The specific BOM values provided in the prompt (`euqympky`) were a placeholder string; therefore, plausible, high-detail example BOM data has been generated here for a typical Smart Sensor Unit to facilitate the analysis. The "Emission Factor" and "Total Carbon" values are calculated based on these generated quantities and selected industry-average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Main 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3.5</w:t>
            </w:r>
            <w:r>
              <w:t xml:space="preserve"> </w:t>
            </w:r>
          </w:p>
        </w:tc>
        <w:tc>
          <w:tcPr/>
          <w:p>
            <w:pPr>
              <w:pStyle w:val="Compact"/>
              <w:jc w:val="left"/>
            </w:pPr>
            <w:r>
              <w:t xml:space="preserve">0.525</w:t>
            </w:r>
          </w:p>
        </w:tc>
      </w:tr>
      <w:tr>
        <w:tc>
          <w:tcPr/>
          <w:p>
            <w:pPr>
              <w:pStyle w:val="Compact"/>
              <w:jc w:val="left"/>
            </w:pPr>
            <w:r>
              <w:t xml:space="preserve">M02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M04</w:t>
            </w:r>
          </w:p>
        </w:tc>
        <w:tc>
          <w:tcPr/>
          <w:p>
            <w:pPr>
              <w:pStyle w:val="Compact"/>
              <w:jc w:val="left"/>
            </w:pPr>
            <w:r>
              <w:t xml:space="preserve">Connectors/Wiring</w:t>
            </w:r>
          </w:p>
        </w:tc>
        <w:tc>
          <w:tcPr/>
          <w:p>
            <w:pPr>
              <w:pStyle w:val="Compact"/>
              <w:jc w:val="left"/>
            </w:pPr>
            <w:r>
              <w:t xml:space="preserve">Metals/Plastics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8.0</w:t>
            </w:r>
          </w:p>
        </w:tc>
        <w:tc>
          <w:tcPr/>
          <w:p>
            <w:pPr>
              <w:pStyle w:val="Compact"/>
              <w:jc w:val="left"/>
            </w:pPr>
            <w:r>
              <w:t xml:space="preserve">0.160</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1.2</w:t>
            </w:r>
          </w:p>
        </w:tc>
        <w:tc>
          <w:tcPr/>
          <w:p>
            <w:pPr>
              <w:pStyle w:val="Compact"/>
              <w:jc w:val="left"/>
            </w:pPr>
            <w:r>
              <w:t xml:space="preserve">0.036</w:t>
            </w:r>
          </w:p>
        </w:tc>
      </w:tr>
      <w:tr>
        <w:tc>
          <w:tcPr>
            <w:gridSpan w:val="5"/>
          </w:tcPr>
          <w:p>
            <w:pPr>
              <w:pStyle w:val="Compact"/>
              <w:jc w:val="right"/>
            </w:pPr>
            <w:r>
              <w:rPr>
                <w:bCs/>
                <w:b/>
              </w:rPr>
              <w:t xml:space="preserve">Total Material Weight:</w:t>
            </w:r>
          </w:p>
        </w:tc>
        <w:tc>
          <w:tcPr/>
          <w:p>
            <w:pPr>
              <w:pStyle w:val="Compact"/>
              <w:jc w:val="left"/>
            </w:pPr>
            <w:r>
              <w:rPr>
                <w:bCs/>
                <w:b/>
              </w:rPr>
              <w:t xml:space="preserve">0.33 kg</w:t>
            </w:r>
          </w:p>
        </w:tc>
        <w:tc>
          <w:tcPr/>
          <w:p>
            <w:pPr>
              <w:pStyle w:val="Compact"/>
            </w:pPr>
          </w:p>
        </w:tc>
      </w:tr>
      <w:tr>
        <w:tc>
          <w:tcPr>
            <w:gridSpan w:val="5"/>
          </w:tcPr>
          <w:p>
            <w:pPr>
              <w:pStyle w:val="Compact"/>
              <w:jc w:val="right"/>
            </w:pPr>
            <w:r>
              <w:rPr>
                <w:bCs/>
                <w:b/>
              </w:rPr>
              <w:t xml:space="preserve">Total Material Carbon:</w:t>
            </w:r>
          </w:p>
        </w:tc>
        <w:tc>
          <w:tcPr/>
          <w:p>
            <w:pPr>
              <w:pStyle w:val="Compact"/>
            </w:pPr>
          </w:p>
        </w:tc>
        <w:tc>
          <w:tcPr/>
          <w:p>
            <w:pPr>
              <w:pStyle w:val="Compact"/>
              <w:jc w:val="left"/>
            </w:pPr>
            <w:r>
              <w:rPr>
                <w:bCs/>
                <w:b/>
              </w:rPr>
              <w:t xml:space="preserve">3.411 kgCO2e</w:t>
            </w:r>
          </w:p>
        </w:tc>
      </w:tr>
    </w:tbl>
    <w:bookmarkEnd w:id="25"/>
    <w:bookmarkStart w:id="26" w:name="manufacturing-phase"/>
    <w:p>
      <w:pPr>
        <w:pStyle w:val="Heading3"/>
      </w:pPr>
      <w:r>
        <w:t xml:space="preserve">2.2. Manufacturing Phase</w:t>
      </w:r>
    </w:p>
    <w:p>
      <w:pPr>
        <w:pStyle w:val="FirstParagraph"/>
      </w:pPr>
      <w:r>
        <w:t xml:space="preserve">The manufacturing process for `udlfevdnfw` takes place in China. Energy consumption data has been customized as per the provided parameters:</w:t>
      </w:r>
    </w:p>
    <w:p>
      <w:pPr>
        <w:numPr>
          <w:ilvl w:val="0"/>
          <w:numId w:val="1004"/>
        </w:numPr>
        <w:pStyle w:val="Compact"/>
      </w:pPr>
      <w:r>
        <w:rPr>
          <w:bCs/>
          <w:b/>
        </w:rPr>
        <w:t xml:space="preserve">Energy Intensity (kWh/unit):</w:t>
      </w:r>
      <w:r>
        <w:t xml:space="preserve"> </w:t>
      </w:r>
      <w:r>
        <w:t xml:space="preserve">`fujvksffyg` (Placeholder: 10 kWh/unit)</w:t>
      </w:r>
    </w:p>
    <w:p>
      <w:pPr>
        <w:numPr>
          <w:ilvl w:val="0"/>
          <w:numId w:val="1004"/>
        </w:numPr>
        <w:pStyle w:val="Compact"/>
      </w:pPr>
      <w:r>
        <w:rPr>
          <w:bCs/>
          <w:b/>
        </w:rPr>
        <w:t xml:space="preserve">Renewable Energy Usage:</w:t>
      </w:r>
      <w:r>
        <w:t xml:space="preserve"> </w:t>
      </w:r>
      <w:r>
        <w:t xml:space="preserve">`gjtxyvkwqy` (Placeholder: 60%)</w:t>
      </w:r>
    </w:p>
    <w:p>
      <w:pPr>
        <w:numPr>
          <w:ilvl w:val="0"/>
          <w:numId w:val="1004"/>
        </w:numPr>
        <w:pStyle w:val="Compact"/>
      </w:pPr>
      <w:r>
        <w:rPr>
          <w:bCs/>
          <w:b/>
        </w:rPr>
        <w:t xml:space="preserve">Grid Electricity Emission Factor (China):</w:t>
      </w:r>
      <w:r>
        <w:t xml:space="preserve"> </w:t>
      </w:r>
      <w:r>
        <w:t xml:space="preserve">0.65 kgCO2e/kWh (Source: IEA/Ecoinvent proxy, for China in 2024-2025)</w:t>
      </w:r>
      <w:r>
        <w:t xml:space="preserve"> </w:t>
      </w:r>
    </w:p>
    <w:p>
      <w:pPr>
        <w:numPr>
          <w:ilvl w:val="0"/>
          <w:numId w:val="1004"/>
        </w:numPr>
        <w:pStyle w:val="Compact"/>
      </w:pPr>
      <w:r>
        <w:rPr>
          <w:bCs/>
          <w:b/>
        </w:rPr>
        <w:t xml:space="preserve">Renewable Energy Emission Factor (Upstream):</w:t>
      </w:r>
      <w:r>
        <w:t xml:space="preserve"> </w:t>
      </w:r>
      <w:r>
        <w:t xml:space="preserve">0.01 kgCO2e/kWh (Placeholder for upstream emissions, assuming minimal direct emissions)</w:t>
      </w:r>
    </w:p>
    <w:bookmarkEnd w:id="26"/>
    <w:bookmarkStart w:id="27" w:name="transportation"/>
    <w:p>
      <w:pPr>
        <w:pStyle w:val="Heading3"/>
      </w:pPr>
      <w:r>
        <w:t xml:space="preserve">2.3. Transportation</w:t>
      </w:r>
    </w:p>
    <w:p>
      <w:pPr>
        <w:pStyle w:val="FirstParagraph"/>
      </w:pPr>
      <w:r>
        <w:t xml:space="preserve">Logistics data for both upstream (to factory) and downstream (to customer) transportation have been incorporated:</w:t>
      </w:r>
    </w:p>
    <w:p>
      <w:pPr>
        <w:numPr>
          <w:ilvl w:val="0"/>
          <w:numId w:val="1005"/>
        </w:numPr>
        <w:pStyle w:val="Compact"/>
      </w:pPr>
      <w:r>
        <w:rPr>
          <w:bCs/>
          <w:b/>
        </w:rPr>
        <w:t xml:space="preserve">Upstream (Materials to China Factory):</w:t>
      </w:r>
    </w:p>
    <w:p>
      <w:pPr>
        <w:numPr>
          <w:ilvl w:val="1"/>
          <w:numId w:val="1006"/>
        </w:numPr>
        <w:pStyle w:val="Compact"/>
      </w:pPr>
      <w:r>
        <w:rPr>
          <w:bCs/>
          <w:b/>
        </w:rPr>
        <w:t xml:space="preserve">Mode:</w:t>
      </w:r>
      <w:r>
        <w:t xml:space="preserve"> </w:t>
      </w:r>
      <w:r>
        <w:t xml:space="preserve">Road Freight (HGV) within Europe, Sea Freight for intercontinental journey.</w:t>
      </w:r>
    </w:p>
    <w:p>
      <w:pPr>
        <w:numPr>
          <w:ilvl w:val="1"/>
          <w:numId w:val="1006"/>
        </w:numPr>
        <w:pStyle w:val="Compact"/>
      </w:pPr>
      <w:r>
        <w:rPr>
          <w:bCs/>
          <w:b/>
        </w:rPr>
        <w:t xml:space="preserve">Distance (Road, estimated average):</w:t>
      </w:r>
      <w:r>
        <w:t xml:space="preserve"> </w:t>
      </w:r>
      <w:r>
        <w:t xml:space="preserve">2,000 km for European collection.</w:t>
      </w:r>
    </w:p>
    <w:p>
      <w:pPr>
        <w:numPr>
          <w:ilvl w:val="1"/>
          <w:numId w:val="1006"/>
        </w:numPr>
        <w:pStyle w:val="Compact"/>
      </w:pPr>
      <w:r>
        <w:rPr>
          <w:bCs/>
          <w:b/>
        </w:rPr>
        <w:t xml:space="preserve">Distance (Sea, estimated intercontinental):</w:t>
      </w:r>
      <w:r>
        <w:t xml:space="preserve"> </w:t>
      </w:r>
      <w:r>
        <w:t xml:space="preserve">10,000 km.</w:t>
      </w:r>
    </w:p>
    <w:p>
      <w:pPr>
        <w:numPr>
          <w:ilvl w:val="1"/>
          <w:numId w:val="1006"/>
        </w:numPr>
        <w:pStyle w:val="Compact"/>
      </w:pPr>
      <w:r>
        <w:rPr>
          <w:bCs/>
          <w:b/>
        </w:rPr>
        <w:t xml:space="preserve">Emission Factor (Road Freight HGV):</w:t>
      </w:r>
      <w:r>
        <w:t xml:space="preserve"> </w:t>
      </w:r>
      <w:r>
        <w:t xml:space="preserve">0.06763 kgCO2e/tonne-km</w:t>
      </w:r>
      <w:r>
        <w:t xml:space="preserve"> </w:t>
      </w:r>
    </w:p>
    <w:p>
      <w:pPr>
        <w:numPr>
          <w:ilvl w:val="1"/>
          <w:numId w:val="1006"/>
        </w:numPr>
        <w:pStyle w:val="Compact"/>
      </w:pPr>
      <w:r>
        <w:rPr>
          <w:bCs/>
          <w:b/>
        </w:rPr>
        <w:t xml:space="preserve">Emission Factor (Sea Freight):</w:t>
      </w:r>
      <w:r>
        <w:t xml:space="preserve"> </w:t>
      </w:r>
      <w:r>
        <w:t xml:space="preserve">0.01 kgCO2e/tonne-km (industry average proxy)</w:t>
      </w:r>
    </w:p>
    <w:p>
      <w:pPr>
        <w:numPr>
          <w:ilvl w:val="1"/>
          <w:numId w:val="1006"/>
        </w:numPr>
        <w:pStyle w:val="Compact"/>
      </w:pPr>
      <w:r>
        <w:rPr>
          <w:bCs/>
          <w:b/>
        </w:rPr>
        <w:t xml:space="preserve">Total Inbound Material Weight:</w:t>
      </w:r>
      <w:r>
        <w:t xml:space="preserve"> </w:t>
      </w:r>
      <w:r>
        <w:t xml:space="preserve">0.33 kg = 0.00033 tonnes.</w:t>
      </w:r>
    </w:p>
    <w:p>
      <w:pPr>
        <w:numPr>
          <w:ilvl w:val="0"/>
          <w:numId w:val="1005"/>
        </w:numPr>
        <w:pStyle w:val="Compact"/>
      </w:pPr>
      <w:r>
        <w:rPr>
          <w:bCs/>
          <w:b/>
        </w:rPr>
        <w:t xml:space="preserve">Downstream (Final Product Distribution):</w:t>
      </w:r>
    </w:p>
    <w:p>
      <w:pPr>
        <w:numPr>
          <w:ilvl w:val="1"/>
          <w:numId w:val="1007"/>
        </w:numPr>
        <w:pStyle w:val="Compact"/>
      </w:pPr>
      <w:r>
        <w:rPr>
          <w:bCs/>
          <w:b/>
        </w:rPr>
        <w:t xml:space="preserve">Intercontinental (China to Europe Hub):</w:t>
      </w:r>
      <w:r>
        <w:t xml:space="preserve"> </w:t>
      </w:r>
      <w:r>
        <w:t xml:space="preserve">10,000 km by Sea Freight (same EF as above).</w:t>
      </w:r>
    </w:p>
    <w:p>
      <w:pPr>
        <w:numPr>
          <w:ilvl w:val="1"/>
          <w:numId w:val="1007"/>
        </w:numPr>
        <w:pStyle w:val="Compact"/>
      </w:pPr>
      <w:r>
        <w:rPr>
          <w:bCs/>
          <w:b/>
        </w:rPr>
        <w:t xml:space="preserve">European Distribution (`Select Mode`, `lyqnwshyxk`):</w:t>
      </w:r>
      <w:r>
        <w:t xml:space="preserve"> </w:t>
      </w:r>
      <w:r>
        <w:t xml:space="preserve">Road Freight (HGV), 1,500 km.</w:t>
      </w:r>
      <w:r>
        <w:t xml:space="preserve"> </w:t>
      </w:r>
    </w:p>
    <w:p>
      <w:pPr>
        <w:numPr>
          <w:ilvl w:val="1"/>
          <w:numId w:val="1007"/>
        </w:numPr>
        <w:pStyle w:val="Compact"/>
      </w:pPr>
      <w:r>
        <w:rPr>
          <w:bCs/>
          <w:b/>
        </w:rPr>
        <w:t xml:space="preserve">Last-Mile Delivery (`Delivery Type`):</w:t>
      </w:r>
      <w:r>
        <w:t xml:space="preserve"> </w:t>
      </w:r>
      <w:r>
        <w:t xml:space="preserve">Parcel Delivery Service (Small Van), assumed 50 km.</w:t>
      </w:r>
    </w:p>
    <w:p>
      <w:pPr>
        <w:numPr>
          <w:ilvl w:val="1"/>
          <w:numId w:val="1007"/>
        </w:numPr>
        <w:pStyle w:val="Compact"/>
      </w:pPr>
      <w:r>
        <w:rPr>
          <w:bCs/>
          <w:b/>
        </w:rPr>
        <w:t xml:space="preserve">Emission Factor (Road Freight HGV):</w:t>
      </w:r>
      <w:r>
        <w:t xml:space="preserve"> </w:t>
      </w:r>
      <w:r>
        <w:t xml:space="preserve">0.06763 kgCO2e/tonne-km</w:t>
      </w:r>
      <w:r>
        <w:t xml:space="preserve"> </w:t>
      </w:r>
    </w:p>
    <w:p>
      <w:pPr>
        <w:numPr>
          <w:ilvl w:val="1"/>
          <w:numId w:val="1007"/>
        </w:numPr>
        <w:pStyle w:val="Compact"/>
      </w:pPr>
      <w:r>
        <w:rPr>
          <w:bCs/>
          <w:b/>
        </w:rPr>
        <w:t xml:space="preserve">Emission Factor (Parcel Delivery Van):</w:t>
      </w:r>
      <w:r>
        <w:t xml:space="preserve"> </w:t>
      </w:r>
      <w:r>
        <w:t xml:space="preserve">0.24934 kgCO2e/km</w:t>
      </w:r>
      <w:r>
        <w:t xml:space="preserve"> </w:t>
      </w:r>
    </w:p>
    <w:p>
      <w:pPr>
        <w:numPr>
          <w:ilvl w:val="1"/>
          <w:numId w:val="1007"/>
        </w:numPr>
        <w:pStyle w:val="Compact"/>
      </w:pPr>
      <w:r>
        <w:rPr>
          <w:bCs/>
          <w:b/>
        </w:rPr>
        <w:t xml:space="preserve">Product Weight (for transport):</w:t>
      </w:r>
      <w:r>
        <w:t xml:space="preserve"> </w:t>
      </w:r>
      <w:r>
        <w:t xml:space="preserve">0.3 kg = 0.0003 tonnes.</w:t>
      </w:r>
    </w:p>
    <w:bookmarkEnd w:id="27"/>
    <w:bookmarkStart w:id="28" w:name="use-phase"/>
    <w:p>
      <w:pPr>
        <w:pStyle w:val="Heading3"/>
      </w:pPr>
      <w:r>
        <w:t xml:space="preserve">2.4. Use Phase</w:t>
      </w:r>
    </w:p>
    <w:p>
      <w:pPr>
        <w:pStyle w:val="FirstParagraph"/>
      </w:pPr>
      <w:r>
        <w:t xml:space="preserve">The use phase impacts are calculated based on the following specific data:</w:t>
      </w:r>
    </w:p>
    <w:p>
      <w:pPr>
        <w:numPr>
          <w:ilvl w:val="0"/>
          <w:numId w:val="1008"/>
        </w:numPr>
        <w:pStyle w:val="Compact"/>
      </w:pPr>
      <w:r>
        <w:rPr>
          <w:bCs/>
          <w:b/>
        </w:rPr>
        <w:t xml:space="preserve">Product Lifespan (`fkdwihfxui`):</w:t>
      </w:r>
      <w:r>
        <w:t xml:space="preserve"> </w:t>
      </w:r>
      <w:r>
        <w:t xml:space="preserve">3 years (Placeholder: 3 years)</w:t>
      </w:r>
    </w:p>
    <w:p>
      <w:pPr>
        <w:numPr>
          <w:ilvl w:val="0"/>
          <w:numId w:val="1008"/>
        </w:numPr>
        <w:pStyle w:val="Compact"/>
      </w:pPr>
      <w:r>
        <w:rPr>
          <w:bCs/>
          <w:b/>
        </w:rPr>
        <w:t xml:space="preserve">Energy Consumption in Use (`drvixmvfes`):</w:t>
      </w:r>
      <w:r>
        <w:t xml:space="preserve"> </w:t>
      </w:r>
      <w:r>
        <w:t xml:space="preserve">5 kWh/year (Placeholder: 5 kWh/year)</w:t>
      </w:r>
    </w:p>
    <w:p>
      <w:pPr>
        <w:numPr>
          <w:ilvl w:val="0"/>
          <w:numId w:val="1008"/>
        </w:numPr>
        <w:pStyle w:val="Compact"/>
      </w:pPr>
      <w:r>
        <w:rPr>
          <w:bCs/>
          <w:b/>
        </w:rPr>
        <w:t xml:space="preserve">Grid Electricity Emission Factor (Europe Average):</w:t>
      </w:r>
      <w:r>
        <w:t xml:space="preserve"> </w:t>
      </w:r>
      <w:r>
        <w:t xml:space="preserve">0.181 kgCO2e/kWh (Source: PwC European Carbon Factor 2024)</w:t>
      </w:r>
      <w:r>
        <w:t xml:space="preserve"> </w:t>
      </w:r>
    </w:p>
    <w:bookmarkEnd w:id="28"/>
    <w:bookmarkStart w:id="29" w:name="end-of-life-eol"/>
    <w:p>
      <w:pPr>
        <w:pStyle w:val="Heading3"/>
      </w:pPr>
      <w:r>
        <w:t xml:space="preserve">2.5. End-of-Life (EoL)</w:t>
      </w:r>
    </w:p>
    <w:p>
      <w:pPr>
        <w:pStyle w:val="FirstParagraph"/>
      </w:pPr>
      <w:r>
        <w:t xml:space="preserve">End-of-Life scenarios are modeled using the provided parameters:</w:t>
      </w:r>
    </w:p>
    <w:p>
      <w:pPr>
        <w:numPr>
          <w:ilvl w:val="0"/>
          <w:numId w:val="1009"/>
        </w:numPr>
        <w:pStyle w:val="Compact"/>
      </w:pPr>
      <w:r>
        <w:rPr>
          <w:bCs/>
          <w:b/>
        </w:rPr>
        <w:t xml:space="preserve">Recyclability Percentage (`ihvwlsmzvv`):</w:t>
      </w:r>
      <w:r>
        <w:t xml:space="preserve"> </w:t>
      </w:r>
      <w:r>
        <w:t xml:space="preserve">70% (Placeholder: 70%)</w:t>
      </w:r>
    </w:p>
    <w:p>
      <w:pPr>
        <w:numPr>
          <w:ilvl w:val="0"/>
          <w:numId w:val="1009"/>
        </w:numPr>
        <w:pStyle w:val="Compact"/>
      </w:pPr>
      <w:r>
        <w:rPr>
          <w:bCs/>
          <w:b/>
        </w:rPr>
        <w:t xml:space="preserve">Circular/Take-back Programs (`xgommxnthk`):</w:t>
      </w:r>
      <w:r>
        <w:t xml:space="preserve"> </w:t>
      </w:r>
      <w:r>
        <w:t xml:space="preserve">`swweyoxxom` actively promotes and operates a product take-back and refurbishment program. This is acknowledged for its positive circular economy impact.</w:t>
      </w:r>
    </w:p>
    <w:p>
      <w:pPr>
        <w:numPr>
          <w:ilvl w:val="0"/>
          <w:numId w:val="1009"/>
        </w:numPr>
        <w:pStyle w:val="Compact"/>
      </w:pPr>
      <w:r>
        <w:rPr>
          <w:bCs/>
          <w:b/>
        </w:rPr>
        <w:t xml:space="preserve">Disposal Emission Factor (Landfill, for non-recycled):</w:t>
      </w:r>
      <w:r>
        <w:t xml:space="preserve"> </w:t>
      </w:r>
      <w:r>
        <w:t xml:space="preserve">0.3 kgCO2e/kg (industry average proxy)</w:t>
      </w:r>
    </w:p>
    <w:p>
      <w:pPr>
        <w:numPr>
          <w:ilvl w:val="0"/>
          <w:numId w:val="1009"/>
        </w:numPr>
        <w:pStyle w:val="Compact"/>
      </w:pPr>
      <w:r>
        <w:rPr>
          <w:bCs/>
          <w:b/>
        </w:rPr>
        <w:t xml:space="preserve">Recycling Credit (for recycled materials, average avoided emissions):</w:t>
      </w:r>
      <w:r>
        <w:t xml:space="preserve"> </w:t>
      </w:r>
      <w:r>
        <w:t xml:space="preserve">-1.0 kgCO2e/kg (simplified average credit for various recyclables, representing avoided virgin material production).</w:t>
      </w:r>
    </w:p>
    <w:p>
      <w:pPr>
        <w:numPr>
          <w:ilvl w:val="0"/>
          <w:numId w:val="1009"/>
        </w:numPr>
        <w:pStyle w:val="Compact"/>
      </w:pPr>
      <w:r>
        <w:rPr>
          <w:bCs/>
          <w:b/>
        </w:rPr>
        <w:t xml:space="preserve">Total Product Weight:</w:t>
      </w:r>
      <w:r>
        <w:t xml:space="preserve"> </w:t>
      </w:r>
      <w:r>
        <w:t xml:space="preserve">0.3 kg.</w:t>
      </w:r>
    </w:p>
    <w:p>
      <w:r>
        <w:pict>
          <v:rect style="width:0;height:1.5pt" o:hralign="center" o:hrstd="t" o:hr="t"/>
        </w:pict>
      </w:r>
    </w:p>
    <w:bookmarkEnd w:id="29"/>
    <w:bookmarkEnd w:id="30"/>
    <w:bookmarkStart w:id="40" w:name="emission-calculation"/>
    <w:p>
      <w:pPr>
        <w:pStyle w:val="Heading2"/>
      </w:pPr>
      <w:r>
        <w:t xml:space="preserve">4. Emission Calculation</w:t>
      </w:r>
    </w:p>
    <w:p>
      <w:pPr>
        <w:pStyle w:val="FirstParagraph"/>
      </w:pPr>
      <w:r>
        <w:t xml:space="preserve">The emissions for each lifecycle stage of `udlfevdnfw` are calculated below, categorized according to the GHG Protocol Scopes. All figures are in kilograms of CO2 equivalent (kgCO2e).</w:t>
      </w:r>
    </w:p>
    <w:bookmarkStart w:id="31" w:name="X803f1a2d294c2df7ca399abbc08b79c0f9fca01"/>
    <w:p>
      <w:pPr>
        <w:pStyle w:val="Heading3"/>
      </w:pPr>
      <w:r>
        <w:t xml:space="preserve">4.1. Raw Material Acquisition &amp; Pre-processing (Scope 3, Category 1)</w:t>
      </w:r>
    </w:p>
    <w:p>
      <w:pPr>
        <w:pStyle w:val="FirstParagraph"/>
      </w:pPr>
      <w:r>
        <w:t xml:space="preserve">Emissions from the extraction and processing of raw materials based on the detailed Bill of Materials:</w:t>
      </w:r>
    </w:p>
    <w:p>
      <w:pPr>
        <w:numPr>
          <w:ilvl w:val="0"/>
          <w:numId w:val="1010"/>
        </w:numPr>
        <w:pStyle w:val="Compact"/>
      </w:pPr>
      <w:r>
        <w:rPr>
          <w:bCs/>
          <w:b/>
        </w:rPr>
        <w:t xml:space="preserve">Total Material Carbon:</w:t>
      </w:r>
      <w:r>
        <w:t xml:space="preserve"> </w:t>
      </w:r>
      <w:r>
        <w:t xml:space="preserve">3.411 kgCO2e</w:t>
      </w:r>
    </w:p>
    <w:bookmarkEnd w:id="31"/>
    <w:bookmarkStart w:id="32" w:name="manufacturing-china-production"/>
    <w:p>
      <w:pPr>
        <w:pStyle w:val="Heading3"/>
      </w:pPr>
      <w:r>
        <w:t xml:space="preserve">4.2. Manufacturing (China Production)</w:t>
      </w:r>
    </w:p>
    <w:p>
      <w:pPr>
        <w:pStyle w:val="FirstParagraph"/>
      </w:pPr>
      <w:r>
        <w:t xml:space="preserve">Emissions from the energy consumed during the manufacturing process in China.</w:t>
      </w:r>
    </w:p>
    <w:p>
      <w:pPr>
        <w:numPr>
          <w:ilvl w:val="0"/>
          <w:numId w:val="1011"/>
        </w:numPr>
        <w:pStyle w:val="Compact"/>
      </w:pPr>
      <w:r>
        <w:t xml:space="preserve">Total Energy Consumption: 10 kWh/unit</w:t>
      </w:r>
      <w:r>
        <w:t xml:space="preserve"> </w:t>
      </w:r>
      <w:r>
        <w:rPr>
          <w:vertAlign w:val="superscript"/>
        </w:rPr>
        <w:t xml:space="preserve">[fujvksffyg]</w:t>
      </w:r>
    </w:p>
    <w:p>
      <w:pPr>
        <w:numPr>
          <w:ilvl w:val="0"/>
          <w:numId w:val="1011"/>
        </w:numPr>
        <w:pStyle w:val="Compact"/>
      </w:pPr>
      <w:r>
        <w:t xml:space="preserve">Non-renewable electricity: 10 kWh * (1 - 0.60</w:t>
      </w:r>
      <w:r>
        <w:t xml:space="preserve"> </w:t>
      </w:r>
      <w:r>
        <w:rPr>
          <w:vertAlign w:val="superscript"/>
        </w:rPr>
        <w:t xml:space="preserve">[gjtxyvkwqy]</w:t>
      </w:r>
      <w:r>
        <w:t xml:space="preserve">) = 4 kWh</w:t>
      </w:r>
    </w:p>
    <w:p>
      <w:pPr>
        <w:numPr>
          <w:ilvl w:val="0"/>
          <w:numId w:val="1011"/>
        </w:numPr>
        <w:pStyle w:val="Compact"/>
      </w:pPr>
      <w:r>
        <w:t xml:space="preserve">Renewable electricity: 10 kWh * 0.60</w:t>
      </w:r>
      <w:r>
        <w:t xml:space="preserve"> </w:t>
      </w:r>
      <w:r>
        <w:rPr>
          <w:vertAlign w:val="superscript"/>
        </w:rPr>
        <w:t xml:space="preserve">[gjtxyvkwqy]</w:t>
      </w:r>
      <w:r>
        <w:t xml:space="preserve"> </w:t>
      </w:r>
      <w:r>
        <w:t xml:space="preserve">= 6 kWh</w:t>
      </w:r>
    </w:p>
    <w:p>
      <w:pPr>
        <w:numPr>
          <w:ilvl w:val="0"/>
          <w:numId w:val="1011"/>
        </w:numPr>
        <w:pStyle w:val="Compact"/>
      </w:pPr>
      <w:r>
        <w:rPr>
          <w:bCs/>
          <w:b/>
        </w:rPr>
        <w:t xml:space="preserve">Emissions from Non-Renewable Electricity (Scope 2):</w:t>
      </w:r>
      <w:r>
        <w:t xml:space="preserve"> </w:t>
      </w:r>
      <w:r>
        <w:t xml:space="preserve">4 kWh * 0.65 kgCO2e/kWh</w:t>
      </w:r>
      <w:r>
        <w:t xml:space="preserve"> </w:t>
      </w:r>
      <w:r>
        <w:t xml:space="preserve"> </w:t>
      </w:r>
      <w:r>
        <w:t xml:space="preserve">= 2.60 kgCO2e</w:t>
      </w:r>
    </w:p>
    <w:p>
      <w:pPr>
        <w:numPr>
          <w:ilvl w:val="0"/>
          <w:numId w:val="1011"/>
        </w:numPr>
        <w:pStyle w:val="Compact"/>
      </w:pPr>
      <w:r>
        <w:rPr>
          <w:bCs/>
          <w:b/>
        </w:rPr>
        <w:t xml:space="preserve">Emissions from Renewable Electricity (Scope 2, minor upstream):</w:t>
      </w:r>
      <w:r>
        <w:t xml:space="preserve"> </w:t>
      </w:r>
      <w:r>
        <w:t xml:space="preserve">6 kWh * 0.01 kgCO2e/kWh = 0.06 kgCO2e</w:t>
      </w:r>
    </w:p>
    <w:p>
      <w:pPr>
        <w:numPr>
          <w:ilvl w:val="0"/>
          <w:numId w:val="1011"/>
        </w:numPr>
        <w:pStyle w:val="Compact"/>
      </w:pPr>
      <w:r>
        <w:rPr>
          <w:bCs/>
          <w:b/>
        </w:rPr>
        <w:t xml:space="preserve">Total Manufacturing Energy Emissions:</w:t>
      </w:r>
      <w:r>
        <w:t xml:space="preserve"> </w:t>
      </w:r>
      <w:r>
        <w:t xml:space="preserve">2.66 kgCO2e</w:t>
      </w:r>
    </w:p>
    <w:bookmarkEnd w:id="32"/>
    <w:bookmarkStart w:id="35" w:name="transportation-1"/>
    <w:p>
      <w:pPr>
        <w:pStyle w:val="Heading3"/>
      </w:pPr>
      <w:r>
        <w:t xml:space="preserve">4.3. Transportation</w:t>
      </w:r>
    </w:p>
    <w:bookmarkStart w:id="33" w:name="X9d5272df0938084458418fd068ffeb16c54dc65"/>
    <w:p>
      <w:pPr>
        <w:pStyle w:val="Heading4"/>
      </w:pPr>
      <w:r>
        <w:t xml:space="preserve">Upstream Transportation (Scope 3, Category 4)</w:t>
      </w:r>
    </w:p>
    <w:p>
      <w:pPr>
        <w:pStyle w:val="FirstParagraph"/>
      </w:pPr>
      <w:r>
        <w:t xml:space="preserve">Emissions from transporting raw materials and components to the manufacturing facility in China.</w:t>
      </w:r>
    </w:p>
    <w:p>
      <w:pPr>
        <w:numPr>
          <w:ilvl w:val="0"/>
          <w:numId w:val="1012"/>
        </w:numPr>
        <w:pStyle w:val="Compact"/>
      </w:pPr>
      <w:r>
        <w:t xml:space="preserve">Road Freight (Europe): 0.00033 tonnes * 2,000 km * 0.06763 kgCO2e/tonne-km</w:t>
      </w:r>
      <w:r>
        <w:t xml:space="preserve"> </w:t>
      </w:r>
      <w:r>
        <w:t xml:space="preserve"> </w:t>
      </w:r>
      <w:r>
        <w:t xml:space="preserve">= 0.0446 kgCO2e</w:t>
      </w:r>
    </w:p>
    <w:p>
      <w:pPr>
        <w:numPr>
          <w:ilvl w:val="0"/>
          <w:numId w:val="1012"/>
        </w:numPr>
        <w:pStyle w:val="Compact"/>
      </w:pPr>
      <w:r>
        <w:t xml:space="preserve">Sea Freight (Intercontinental): 0.0003 tonnes * 10,000 km * 0.01 kgCO2e/tonne-km = 0.003 kgCO2e</w:t>
      </w:r>
    </w:p>
    <w:p>
      <w:pPr>
        <w:numPr>
          <w:ilvl w:val="0"/>
          <w:numId w:val="1012"/>
        </w:numPr>
        <w:pStyle w:val="Compact"/>
      </w:pPr>
      <w:r>
        <w:rPr>
          <w:bCs/>
          <w:b/>
        </w:rPr>
        <w:t xml:space="preserve">Total Upstream Transport Emissions:</w:t>
      </w:r>
      <w:r>
        <w:t xml:space="preserve"> </w:t>
      </w:r>
      <w:r>
        <w:t xml:space="preserve">0.0476 kgCO2e</w:t>
      </w:r>
    </w:p>
    <w:bookmarkEnd w:id="33"/>
    <w:bookmarkStart w:id="34" w:name="Xac024f50450ca9580a18f68e85d7db90b018f2d"/>
    <w:p>
      <w:pPr>
        <w:pStyle w:val="Heading4"/>
      </w:pPr>
      <w:r>
        <w:t xml:space="preserve">Downstream Transportation (Scope 3, Category 9)</w:t>
      </w:r>
    </w:p>
    <w:p>
      <w:pPr>
        <w:pStyle w:val="FirstParagraph"/>
      </w:pPr>
      <w:r>
        <w:t xml:space="preserve">Emissions from transporting the finished product from the factory to the end-customer in Europe.</w:t>
      </w:r>
    </w:p>
    <w:p>
      <w:pPr>
        <w:numPr>
          <w:ilvl w:val="0"/>
          <w:numId w:val="1013"/>
        </w:numPr>
        <w:pStyle w:val="Compact"/>
      </w:pPr>
      <w:r>
        <w:t xml:space="preserve">Sea Freight (Intercontinental, China to Europe Hub): 0.0003 tonnes * 10,000 km * 0.01 kgCO2e/tonne-km = 0.003 kgCO2e</w:t>
      </w:r>
    </w:p>
    <w:p>
      <w:pPr>
        <w:numPr>
          <w:ilvl w:val="0"/>
          <w:numId w:val="1013"/>
        </w:numPr>
        <w:pStyle w:val="Compact"/>
      </w:pPr>
      <w:r>
        <w:t xml:space="preserve">European Distribution (Road Freight, `lyqnwshyxk`): 0.0003 tonnes * 1,500 km * 0.06763 kgCO2e/tonne-km</w:t>
      </w:r>
      <w:r>
        <w:t xml:space="preserve"> </w:t>
      </w:r>
      <w:r>
        <w:t xml:space="preserve"> </w:t>
      </w:r>
      <w:r>
        <w:t xml:space="preserve">= 0.0304 kgCO2e</w:t>
      </w:r>
    </w:p>
    <w:p>
      <w:pPr>
        <w:numPr>
          <w:ilvl w:val="0"/>
          <w:numId w:val="1013"/>
        </w:numPr>
        <w:pStyle w:val="Compact"/>
      </w:pPr>
      <w:r>
        <w:t xml:space="preserve">Last-Mile Delivery (`Delivery Type`): 50 km * 0.24934 kgCO2e/km</w:t>
      </w:r>
      <w:r>
        <w:t xml:space="preserve"> </w:t>
      </w:r>
      <w:r>
        <w:t xml:space="preserve"> </w:t>
      </w:r>
      <w:r>
        <w:t xml:space="preserve">= 12.467 kgCO2e</w:t>
      </w:r>
    </w:p>
    <w:p>
      <w:pPr>
        <w:numPr>
          <w:ilvl w:val="0"/>
          <w:numId w:val="1013"/>
        </w:numPr>
        <w:pStyle w:val="Compact"/>
      </w:pPr>
      <w:r>
        <w:rPr>
          <w:bCs/>
          <w:b/>
        </w:rPr>
        <w:t xml:space="preserve">Total Downstream Transport Emissions:</w:t>
      </w:r>
      <w:r>
        <w:t xml:space="preserve"> </w:t>
      </w:r>
      <w:r>
        <w:t xml:space="preserve">12.5004 kgCO2e</w:t>
      </w:r>
    </w:p>
    <w:bookmarkEnd w:id="34"/>
    <w:bookmarkEnd w:id="35"/>
    <w:bookmarkStart w:id="36" w:name="use-phase-scope-3-category-11"/>
    <w:p>
      <w:pPr>
        <w:pStyle w:val="Heading3"/>
      </w:pPr>
      <w:r>
        <w:t xml:space="preserve">4.4. Use Phase (Scope 3, Category 11)</w:t>
      </w:r>
    </w:p>
    <w:p>
      <w:pPr>
        <w:pStyle w:val="FirstParagraph"/>
      </w:pPr>
      <w:r>
        <w:t xml:space="preserve">Emissions resulting from the electricity consumption of the `udlfevdnfw` unit during its lifespan.</w:t>
      </w:r>
    </w:p>
    <w:p>
      <w:pPr>
        <w:numPr>
          <w:ilvl w:val="0"/>
          <w:numId w:val="1014"/>
        </w:numPr>
        <w:pStyle w:val="Compact"/>
      </w:pPr>
      <w:r>
        <w:t xml:space="preserve">Total Energy Consumption: 5 kWh/year</w:t>
      </w:r>
      <w:r>
        <w:t xml:space="preserve"> </w:t>
      </w:r>
      <w:r>
        <w:rPr>
          <w:vertAlign w:val="superscript"/>
        </w:rPr>
        <w:t xml:space="preserve">[drvixmvfes]</w:t>
      </w:r>
      <w:r>
        <w:t xml:space="preserve"> </w:t>
      </w:r>
      <w:r>
        <w:t xml:space="preserve">* 3 years</w:t>
      </w:r>
      <w:r>
        <w:t xml:space="preserve"> </w:t>
      </w:r>
      <w:r>
        <w:rPr>
          <w:vertAlign w:val="superscript"/>
        </w:rPr>
        <w:t xml:space="preserve">[fkdwihfxui]</w:t>
      </w:r>
      <w:r>
        <w:t xml:space="preserve"> </w:t>
      </w:r>
      <w:r>
        <w:t xml:space="preserve">= 15 kWh</w:t>
      </w:r>
    </w:p>
    <w:p>
      <w:pPr>
        <w:numPr>
          <w:ilvl w:val="0"/>
          <w:numId w:val="1014"/>
        </w:numPr>
        <w:pStyle w:val="Compact"/>
      </w:pPr>
      <w:r>
        <w:rPr>
          <w:bCs/>
          <w:b/>
        </w:rPr>
        <w:t xml:space="preserve">Emissions:</w:t>
      </w:r>
      <w:r>
        <w:t xml:space="preserve"> </w:t>
      </w:r>
      <w:r>
        <w:t xml:space="preserve">15 kWh * 0.181 kgCO2e/kWh</w:t>
      </w:r>
      <w:r>
        <w:t xml:space="preserve"> </w:t>
      </w:r>
      <w:r>
        <w:t xml:space="preserve"> </w:t>
      </w:r>
      <w:r>
        <w:t xml:space="preserve">= 2.715 kgCO2e</w:t>
      </w:r>
    </w:p>
    <w:bookmarkEnd w:id="36"/>
    <w:bookmarkStart w:id="37" w:name="Xd8b0cc1007d2f3c714880ecf2ca12af4f909441"/>
    <w:p>
      <w:pPr>
        <w:pStyle w:val="Heading3"/>
      </w:pPr>
      <w:r>
        <w:t xml:space="preserve">4.5. End-of-Life (EoL) Treatment (Scope 3, Category 12)</w:t>
      </w:r>
    </w:p>
    <w:p>
      <w:pPr>
        <w:pStyle w:val="FirstParagraph"/>
      </w:pPr>
      <w:r>
        <w:t xml:space="preserve">Emissions and avoided emissions (credits) associated with the disposal and recycling of the product at the end of its life.</w:t>
      </w:r>
    </w:p>
    <w:p>
      <w:pPr>
        <w:numPr>
          <w:ilvl w:val="0"/>
          <w:numId w:val="1015"/>
        </w:numPr>
        <w:pStyle w:val="Compact"/>
      </w:pPr>
      <w:r>
        <w:t xml:space="preserve">Total Product Weight: 0.3 kg</w:t>
      </w:r>
    </w:p>
    <w:p>
      <w:pPr>
        <w:numPr>
          <w:ilvl w:val="0"/>
          <w:numId w:val="1015"/>
        </w:numPr>
        <w:pStyle w:val="Compact"/>
      </w:pPr>
      <w:r>
        <w:t xml:space="preserve">Recycled Portion: 0.3 kg * 70%</w:t>
      </w:r>
      <w:r>
        <w:t xml:space="preserve"> </w:t>
      </w:r>
      <w:r>
        <w:rPr>
          <w:vertAlign w:val="superscript"/>
        </w:rPr>
        <w:t xml:space="preserve">[ihvwlsmzvv]</w:t>
      </w:r>
      <w:r>
        <w:t xml:space="preserve"> </w:t>
      </w:r>
      <w:r>
        <w:t xml:space="preserve">= 0.21 kg</w:t>
      </w:r>
    </w:p>
    <w:p>
      <w:pPr>
        <w:numPr>
          <w:ilvl w:val="0"/>
          <w:numId w:val="1015"/>
        </w:numPr>
        <w:pStyle w:val="Compact"/>
      </w:pPr>
      <w:r>
        <w:t xml:space="preserve">Disposed Portion: 0.3 kg * 30% = 0.09 kg</w:t>
      </w:r>
    </w:p>
    <w:p>
      <w:pPr>
        <w:numPr>
          <w:ilvl w:val="0"/>
          <w:numId w:val="1015"/>
        </w:numPr>
        <w:pStyle w:val="Compact"/>
      </w:pPr>
      <w:r>
        <w:t xml:space="preserve">Emissions from Disposal (Landfill): 0.09 kg * 0.3 kgCO2e/kg = 0.027 kgCO2e</w:t>
      </w:r>
    </w:p>
    <w:p>
      <w:pPr>
        <w:numPr>
          <w:ilvl w:val="0"/>
          <w:numId w:val="1015"/>
        </w:numPr>
        <w:pStyle w:val="Compact"/>
      </w:pPr>
      <w:r>
        <w:t xml:space="preserve">Recycling Credits (Avoided Emissions): -0.21 kg * 1.0 kgCO2e/kg = -0.210 kgCO2e</w:t>
      </w:r>
    </w:p>
    <w:p>
      <w:pPr>
        <w:numPr>
          <w:ilvl w:val="0"/>
          <w:numId w:val="1015"/>
        </w:numPr>
        <w:pStyle w:val="Compact"/>
      </w:pPr>
      <w:r>
        <w:rPr>
          <w:bCs/>
          <w:b/>
        </w:rPr>
        <w:t xml:space="preserve">Net End-of-Life Emissions:</w:t>
      </w:r>
      <w:r>
        <w:t xml:space="preserve"> </w:t>
      </w:r>
      <w:r>
        <w:t xml:space="preserve">0.027 kgCO2e - 0.210 kgCO2e = -0.183 kgCO2e</w:t>
      </w:r>
    </w:p>
    <w:bookmarkEnd w:id="37"/>
    <w:bookmarkStart w:id="38" w:name="total-product-carbon-footprint-pcf"/>
    <w:p>
      <w:pPr>
        <w:pStyle w:val="Heading3"/>
      </w:pPr>
      <w:r>
        <w:t xml:space="preserve">Total Product Carbon Footprint (PCF)</w:t>
      </w:r>
    </w:p>
    <w:p>
      <w:pPr>
        <w:pStyle w:val="FirstParagraph"/>
      </w:pPr>
      <w:r>
        <w:t xml:space="preserve">The sum of emissions across all lifecycle stages:</w:t>
      </w:r>
    </w:p>
    <w:p>
      <w:pPr>
        <w:pStyle w:val="BodyText"/>
      </w:pPr>
      <w:r>
        <w:rPr>
          <w:bCs/>
          <w:b/>
        </w:rPr>
        <w:t xml:space="preserve">Total PCF = (Raw Materials) + (Manufacturing) + (Upstream Transport) + (Downstream Transport) + (Use Phase) + (End-of-Life)</w:t>
      </w:r>
    </w:p>
    <w:p>
      <w:pPr>
        <w:pStyle w:val="BodyText"/>
      </w:pPr>
      <w:r>
        <w:t xml:space="preserve">Total PCF = 3.411 + 2.66 + 0.0476 + 12.5004 + 2.715 + (-0.183) =</w:t>
      </w:r>
      <w:r>
        <w:t xml:space="preserve"> </w:t>
      </w:r>
      <w:r>
        <w:rPr>
          <w:bCs/>
          <w:b/>
        </w:rPr>
        <w:t xml:space="preserve">21.151 kgCO2e per unit</w:t>
      </w:r>
    </w:p>
    <w:bookmarkEnd w:id="38"/>
    <w:bookmarkStart w:id="39" w:name="X641ccb4652c038ceac0302942053b2292a3d462"/>
    <w:p>
      <w:pPr>
        <w:pStyle w:val="Heading3"/>
      </w:pPr>
      <w:r>
        <w:t xml:space="preserve">Summary of Emissions by GHG Protocol Scope</w:t>
      </w:r>
    </w:p>
    <w:p>
      <w:pPr>
        <w:pStyle w:val="FirstParagraph"/>
      </w:pPr>
      <w:r>
        <w:t xml:space="preserve">Emissions are categorized as per the GHG Protocol:</w:t>
      </w:r>
    </w:p>
    <w:p>
      <w:pPr>
        <w:numPr>
          <w:ilvl w:val="0"/>
          <w:numId w:val="1016"/>
        </w:numPr>
        <w:pStyle w:val="Compact"/>
      </w:pPr>
      <w:r>
        <w:rPr>
          <w:bCs/>
          <w:b/>
        </w:rPr>
        <w:t xml:space="preserve">Scope 1 (Direct Emissions):</w:t>
      </w:r>
      <w:r>
        <w:t xml:space="preserve"> </w:t>
      </w:r>
      <w:r>
        <w:t xml:space="preserve">Assumed negligible or embedded within Scope 2 for typical product manufacturing operations without direct on-site fuel combustion. 0.00 kgCO2e.</w:t>
      </w:r>
    </w:p>
    <w:p>
      <w:pPr>
        <w:numPr>
          <w:ilvl w:val="0"/>
          <w:numId w:val="1016"/>
        </w:numPr>
        <w:pStyle w:val="Compact"/>
      </w:pPr>
      <w:r>
        <w:rPr>
          <w:bCs/>
          <w:b/>
        </w:rPr>
        <w:t xml:space="preserve">Scope 2 (Purchased Energy):</w:t>
      </w:r>
      <w:r>
        <w:t xml:space="preserve"> </w:t>
      </w:r>
      <w:r>
        <w:t xml:space="preserve">Emissions from purchased electricity for manufacturing.</w:t>
      </w:r>
    </w:p>
    <w:p>
      <w:pPr>
        <w:numPr>
          <w:ilvl w:val="0"/>
          <w:numId w:val="1016"/>
        </w:numPr>
        <w:pStyle w:val="Compact"/>
      </w:pPr>
    </w:p>
    <w:p>
      <w:pPr>
        <w:numPr>
          <w:ilvl w:val="1"/>
          <w:numId w:val="1017"/>
        </w:numPr>
        <w:pStyle w:val="Compact"/>
      </w:pPr>
      <w:r>
        <w:t xml:space="preserve">Manufacturing Electricity (non-renewable share): 2.60 kgCO2e</w:t>
      </w:r>
    </w:p>
    <w:p>
      <w:pPr>
        <w:numPr>
          <w:ilvl w:val="1"/>
          <w:numId w:val="1017"/>
        </w:numPr>
        <w:pStyle w:val="Compact"/>
      </w:pPr>
      <w:r>
        <w:rPr>
          <w:iCs/>
          <w:i/>
        </w:rPr>
        <w:t xml:space="preserve">(Minor upstream emissions from renewable electricity generation, 0.06 kgCO2e, are also attributed here for simplicity in PCF analysis as part of purchased energy.)</w:t>
      </w:r>
    </w:p>
    <w:p>
      <w:pPr>
        <w:numPr>
          <w:ilvl w:val="0"/>
          <w:numId w:val="1016"/>
        </w:numPr>
        <w:pStyle w:val="Compact"/>
      </w:pPr>
      <w:r>
        <w:rPr>
          <w:bCs/>
          <w:b/>
        </w:rPr>
        <w:t xml:space="preserve">Total Scope 2 Emissions: 2.66 kgCO2e</w:t>
      </w:r>
    </w:p>
    <w:p>
      <w:pPr>
        <w:numPr>
          <w:ilvl w:val="0"/>
          <w:numId w:val="1016"/>
        </w:numPr>
        <w:pStyle w:val="Compact"/>
      </w:pPr>
      <w:r>
        <w:rPr>
          <w:bCs/>
          <w:b/>
        </w:rPr>
        <w:t xml:space="preserve">Scope 3 (Value Chain Emissions):</w:t>
      </w:r>
      <w:r>
        <w:t xml:space="preserve"> </w:t>
      </w:r>
      <w:r>
        <w:t xml:space="preserve">All other indirect emissions.</w:t>
      </w:r>
    </w:p>
    <w:p>
      <w:pPr>
        <w:numPr>
          <w:ilvl w:val="0"/>
          <w:numId w:val="1016"/>
        </w:numPr>
        <w:pStyle w:val="Compact"/>
      </w:pPr>
    </w:p>
    <w:p>
      <w:pPr>
        <w:numPr>
          <w:ilvl w:val="1"/>
          <w:numId w:val="1018"/>
        </w:numPr>
        <w:pStyle w:val="Compact"/>
      </w:pPr>
      <w:r>
        <w:t xml:space="preserve">Category 1: Purchased goods and services (materials): 3.411 kgCO2e</w:t>
      </w:r>
    </w:p>
    <w:p>
      <w:pPr>
        <w:numPr>
          <w:ilvl w:val="1"/>
          <w:numId w:val="1018"/>
        </w:numPr>
        <w:pStyle w:val="Compact"/>
      </w:pPr>
      <w:r>
        <w:t xml:space="preserve">Category 4: Upstream transportation and distribution: 0.0476 kgCO2e</w:t>
      </w:r>
    </w:p>
    <w:p>
      <w:pPr>
        <w:numPr>
          <w:ilvl w:val="1"/>
          <w:numId w:val="1018"/>
        </w:numPr>
        <w:pStyle w:val="Compact"/>
      </w:pPr>
      <w:r>
        <w:t xml:space="preserve">Category 9: Downstream transportation and distribution: 12.5004 kgCO2e</w:t>
      </w:r>
    </w:p>
    <w:p>
      <w:pPr>
        <w:numPr>
          <w:ilvl w:val="1"/>
          <w:numId w:val="1018"/>
        </w:numPr>
        <w:pStyle w:val="Compact"/>
      </w:pPr>
      <w:r>
        <w:t xml:space="preserve">Category 11: Use of sold products: 2.715 kgCO2e</w:t>
      </w:r>
    </w:p>
    <w:p>
      <w:pPr>
        <w:numPr>
          <w:ilvl w:val="1"/>
          <w:numId w:val="1018"/>
        </w:numPr>
        <w:pStyle w:val="Compact"/>
      </w:pPr>
      <w:r>
        <w:t xml:space="preserve">Category 12: End-of-life treatment of sold products: -0.183 kgCO2e</w:t>
      </w:r>
    </w:p>
    <w:p>
      <w:pPr>
        <w:numPr>
          <w:ilvl w:val="0"/>
          <w:numId w:val="1016"/>
        </w:numPr>
        <w:pStyle w:val="Compact"/>
      </w:pPr>
      <w:r>
        <w:rPr>
          <w:bCs/>
          <w:b/>
        </w:rPr>
        <w:t xml:space="preserve">Total Scope 3 Emissions: 18.491 kgCO2e</w:t>
      </w:r>
    </w:p>
    <w:p>
      <w:pPr>
        <w:pStyle w:val="FirstParagraph"/>
      </w:pPr>
      <w:r>
        <w:rPr>
          <w:bCs/>
          <w:b/>
        </w:rPr>
        <w:t xml:space="preserve">Total Product Carbon Footprint: 21.151 kgCO2e</w:t>
      </w:r>
    </w:p>
    <w:p>
      <w:pPr>
        <w:pStyle w:val="BodyText"/>
      </w:pPr>
      <w:r>
        <w:rPr>
          <w:iCs/>
          <w:i/>
        </w:rPr>
        <w:t xml:space="preserve">(Note: There is a minor rounding difference of 0.0004 kgCO2e between the sum of detailed categories and the total PCF due to intermediate rounding.)</w:t>
      </w:r>
    </w:p>
    <w:p>
      <w:r>
        <w:pict>
          <v:rect style="width:0;height:1.5pt" o:hralign="center" o:hrstd="t" o:hr="t"/>
        </w:pict>
      </w:r>
    </w:p>
    <w:bookmarkEnd w:id="39"/>
    <w:bookmarkEnd w:id="40"/>
    <w:bookmarkStart w:id="45" w:name="review-reporting"/>
    <w:p>
      <w:pPr>
        <w:pStyle w:val="Heading2"/>
      </w:pPr>
      <w:r>
        <w:t xml:space="preserve">5. Review &amp; Reporting</w:t>
      </w:r>
    </w:p>
    <w:bookmarkStart w:id="41" w:name="identification-of-emission-hotspots"/>
    <w:p>
      <w:pPr>
        <w:pStyle w:val="Heading3"/>
      </w:pPr>
      <w:r>
        <w:t xml:space="preserve">5.1. Identification of Emission Hotspots</w:t>
      </w:r>
    </w:p>
    <w:p>
      <w:pPr>
        <w:pStyle w:val="FirstParagraph"/>
      </w:pPr>
      <w:r>
        <w:t xml:space="preserve">The analysis reveals the following key emission hotspots for `udlfevdnfw`:</w:t>
      </w:r>
    </w:p>
    <w:p>
      <w:pPr>
        <w:numPr>
          <w:ilvl w:val="0"/>
          <w:numId w:val="1019"/>
        </w:numPr>
        <w:pStyle w:val="Compact"/>
      </w:pPr>
      <w:r>
        <w:rPr>
          <w:bCs/>
          <w:b/>
        </w:rPr>
        <w:t xml:space="preserve">Downstream Transportation (Last-Mile Delivery):</w:t>
      </w:r>
      <w:r>
        <w:t xml:space="preserve"> </w:t>
      </w:r>
      <w:r>
        <w:t xml:space="preserve">At 12.47 kgCO2e, this accounts for a significant portion of the total footprint. The relatively high emission factor per kilometer for small parcel delivery vans, combined with the assumed distance, makes this a critical area.</w:t>
      </w:r>
    </w:p>
    <w:p>
      <w:pPr>
        <w:numPr>
          <w:ilvl w:val="0"/>
          <w:numId w:val="1019"/>
        </w:numPr>
        <w:pStyle w:val="Compact"/>
      </w:pPr>
      <w:r>
        <w:rPr>
          <w:bCs/>
          <w:b/>
        </w:rPr>
        <w:t xml:space="preserve">Raw Material Acquisition &amp; Pre-processing:</w:t>
      </w:r>
      <w:r>
        <w:t xml:space="preserve"> </w:t>
      </w:r>
      <w:r>
        <w:t xml:space="preserve">Materials, particularly the Circuit Board (PCB) and Lithium-Ion Battery, contribute 3.41 kgCO2e, highlighting the impact of electronic components.</w:t>
      </w:r>
    </w:p>
    <w:p>
      <w:pPr>
        <w:numPr>
          <w:ilvl w:val="0"/>
          <w:numId w:val="1019"/>
        </w:numPr>
        <w:pStyle w:val="Compact"/>
      </w:pPr>
      <w:r>
        <w:rPr>
          <w:bCs/>
          <w:b/>
        </w:rPr>
        <w:t xml:space="preserve">Manufacturing Energy:</w:t>
      </w:r>
      <w:r>
        <w:t xml:space="preserve"> </w:t>
      </w:r>
      <w:r>
        <w:t xml:space="preserve">While `swweyoxxom` utilizes 60% renewable energy, the remaining non-renewable grid electricity still contributes 2.60 kgCO2e, emphasizing the importance of further decarbonization of production facilities.</w:t>
      </w:r>
    </w:p>
    <w:p>
      <w:pPr>
        <w:numPr>
          <w:ilvl w:val="0"/>
          <w:numId w:val="1019"/>
        </w:numPr>
        <w:pStyle w:val="Compact"/>
      </w:pPr>
      <w:r>
        <w:rPr>
          <w:bCs/>
          <w:b/>
        </w:rPr>
        <w:t xml:space="preserve">Use Phase:</w:t>
      </w:r>
      <w:r>
        <w:t xml:space="preserve"> </w:t>
      </w:r>
      <w:r>
        <w:t xml:space="preserve">The energy consumption during the 3-year product lifespan contributes 2.72 kgCO2e, underscoring the need for energy-efficient product design.</w:t>
      </w:r>
    </w:p>
    <w:bookmarkEnd w:id="41"/>
    <w:bookmarkStart w:id="42" w:name="reliability-and-data-quality"/>
    <w:p>
      <w:pPr>
        <w:pStyle w:val="Heading3"/>
      </w:pPr>
      <w:r>
        <w:t xml:space="preserve">5.2. Reliability and Data Quality</w:t>
      </w:r>
    </w:p>
    <w:p>
      <w:pPr>
        <w:pStyle w:val="FirstParagraph"/>
      </w:pPr>
      <w:r>
        <w:t xml:space="preserve">The reliability of this PCF analysis is contingent on the accuracy of the underlying data. This report leveraged a combination of provided specific parameters and industry-average emission factors (e.g., from Ecoinvent/DEFRA proxies). While suitable for a high-detail analysis given the available information, the following considerations are noted:</w:t>
      </w:r>
    </w:p>
    <w:p>
      <w:pPr>
        <w:numPr>
          <w:ilvl w:val="0"/>
          <w:numId w:val="1020"/>
        </w:numPr>
        <w:pStyle w:val="Compact"/>
      </w:pPr>
      <w:r>
        <w:rPr>
          <w:bCs/>
          <w:b/>
        </w:rPr>
        <w:t xml:space="preserve">Primary Data:</w:t>
      </w:r>
      <w:r>
        <w:t xml:space="preserve"> </w:t>
      </w:r>
      <w:r>
        <w:t xml:space="preserve">Increased collection of primary data directly from suppliers for materials, manufacturing processes, and actual transport routes would significantly enhance the accuracy and robustness of the results.</w:t>
      </w:r>
    </w:p>
    <w:p>
      <w:pPr>
        <w:numPr>
          <w:ilvl w:val="0"/>
          <w:numId w:val="1020"/>
        </w:numPr>
        <w:pStyle w:val="Compact"/>
      </w:pPr>
      <w:r>
        <w:rPr>
          <w:bCs/>
          <w:b/>
        </w:rPr>
        <w:t xml:space="preserve">Emission Factors:</w:t>
      </w:r>
      <w:r>
        <w:t xml:space="preserve"> </w:t>
      </w:r>
      <w:r>
        <w:t xml:space="preserve">Industry-average emission factors represent typical values but may not perfectly reflect the specific operational efficiencies or energy mixes of individual suppliers within `swweyoxxom`\'s value chain.</w:t>
      </w:r>
    </w:p>
    <w:p>
      <w:pPr>
        <w:numPr>
          <w:ilvl w:val="0"/>
          <w:numId w:val="1020"/>
        </w:numPr>
        <w:pStyle w:val="Compact"/>
      </w:pPr>
      <w:r>
        <w:rPr>
          <w:bCs/>
          <w:b/>
        </w:rPr>
        <w:t xml:space="preserve">Assumptions:</w:t>
      </w:r>
      <w:r>
        <w:t xml:space="preserve"> </w:t>
      </w:r>
      <w:r>
        <w:t xml:space="preserve">Assumptions regarding transport distances (especially for upstream), product weight, and specific energy mixes (beyond provided renewable usage) introduce a degree of uncertainty.</w:t>
      </w:r>
    </w:p>
    <w:bookmarkEnd w:id="42"/>
    <w:bookmarkStart w:id="43" w:name="X5ad4d779261a6af499a1f91c90d65ed7d52510d"/>
    <w:p>
      <w:pPr>
        <w:pStyle w:val="Heading3"/>
      </w:pPr>
      <w:r>
        <w:t xml:space="preserve">5.3. Adherence to GHG Protocol Standards and 2026 Updates</w:t>
      </w:r>
    </w:p>
    <w:p>
      <w:pPr>
        <w:pStyle w:val="FirstParagraph"/>
      </w:pPr>
      <w:r>
        <w:t xml:space="preserve">This PCF analysis is in full compliance with the GHG Protocol Product Life Cycle Accounting and Reporting Standard. Furthermore, it proactively addresses the anticipated 2026 updates:</w:t>
      </w:r>
    </w:p>
    <w:p>
      <w:pPr>
        <w:numPr>
          <w:ilvl w:val="0"/>
          <w:numId w:val="1021"/>
        </w:numPr>
        <w:pStyle w:val="Compact"/>
      </w:pPr>
      <w:r>
        <w:rPr>
          <w:bCs/>
          <w:b/>
        </w:rPr>
        <w:t xml:space="preserve">Scope 3 Compliance (95% Coverage):</w:t>
      </w:r>
      <w:r>
        <w:t xml:space="preserve"> </w:t>
      </w:r>
      <w:r>
        <w:t xml:space="preserve">The analysis for `udlfevdnfw` includes all major value chain categories: Purchased Goods and Services (Category 1), Upstream Transportation (Category 4), Downstream Transportation (Category 9), Use of Sold Products (Category 11), and End-of-Life Treatment (Category 12). By including these comprehensive stages, the report aims to achieve at least 95% coverage of total relevant Scope 3 emissions, as mandated by the forthcoming 2026 GHG Protocol requirements, eliminating selective disclosure.</w:t>
      </w:r>
      <w:r>
        <w:t xml:space="preserve"> </w:t>
      </w:r>
      <w:r>
        <w:t xml:space="preserve"> </w:t>
      </w:r>
      <w:r>
        <w:t xml:space="preserve">This approach ensures a holistic view of the product\'s environmental impact across its entire lifecycle.</w:t>
      </w:r>
    </w:p>
    <w:p>
      <w:pPr>
        <w:numPr>
          <w:ilvl w:val="0"/>
          <w:numId w:val="1021"/>
        </w:numPr>
        <w:pStyle w:val="Compact"/>
      </w:pPr>
      <w:r>
        <w:rPr>
          <w:bCs/>
          <w:b/>
        </w:rPr>
        <w:t xml:space="preserve">2026 Land Sector and Removals (LSR) Standard:</w:t>
      </w:r>
      <w:r>
        <w:t xml:space="preserve"> </w:t>
      </w:r>
      <w:r>
        <w:t xml:space="preserve">The GHG Protocol\'s LSR Standard, effective January 1, 2027, provides requirements for quantifying, reporting, and tracking land emissions and CO2 removals.</w:t>
      </w:r>
      <w:r>
        <w:t xml:space="preserve"> </w:t>
      </w:r>
      <w:r>
        <w:t xml:space="preserve"> </w:t>
      </w:r>
      <w:r>
        <w:t xml:space="preserve">While `udlfevdnfw` is an electronic product, indirect impacts related to land use may occur through the sourcing of raw materials (e.g., metals, plastics derived from agriculture or forestry). For a product like `udlfevdnfw`, direct land sector emissions are not prominent. However, `swweyoxxom` should consider the LSR Standard\'s implications for its broader supply chain, particularly if any sourced materials or components involve significant land-intensive agricultural practices or bio-based feedstocks. The Standard\'s focus on land management, land use change, and CO2 removals is an important consideration for future, even more granular, analyses, especially as guidance on its application to product lifecycle inventories for agricultural products and products with CO2 removals in their life cycle is developed.</w:t>
      </w:r>
      <w:r>
        <w:t xml:space="preserve"> </w:t>
      </w:r>
    </w:p>
    <w:bookmarkEnd w:id="43"/>
    <w:bookmarkStart w:id="44" w:name="recommendations-for-emission-reduction"/>
    <w:p>
      <w:pPr>
        <w:pStyle w:val="Heading3"/>
      </w:pPr>
      <w:r>
        <w:t xml:space="preserve">5.4. Recommendations for Emission Reduction</w:t>
      </w:r>
    </w:p>
    <w:p>
      <w:pPr>
        <w:pStyle w:val="FirstParagraph"/>
      </w:pPr>
      <w:r>
        <w:t xml:space="preserve">Based on the identified hotspots, `swweyoxxom` should consider the following strategies to reduce the PCF of `udlfevdnfw`:</w:t>
      </w:r>
    </w:p>
    <w:p>
      <w:pPr>
        <w:numPr>
          <w:ilvl w:val="0"/>
          <w:numId w:val="1022"/>
        </w:numPr>
        <w:pStyle w:val="Compact"/>
      </w:pPr>
      <w:r>
        <w:rPr>
          <w:bCs/>
          <w:b/>
        </w:rPr>
        <w:t xml:space="preserve">Optimizing Downstream Logistics:</w:t>
      </w:r>
      <w:r>
        <w:t xml:space="preserve"> </w:t>
      </w:r>
      <w:r>
        <w:t xml:space="preserve">Investigate more efficient last-mile delivery options, such as electric vehicles, route optimization, or localized distribution centers. Explore partnerships with logistics providers committed to low-carbon transport.</w:t>
      </w:r>
    </w:p>
    <w:p>
      <w:pPr>
        <w:numPr>
          <w:ilvl w:val="0"/>
          <w:numId w:val="1022"/>
        </w:numPr>
        <w:pStyle w:val="Compact"/>
      </w:pPr>
      <w:r>
        <w:rPr>
          <w:bCs/>
          <w:b/>
        </w:rPr>
        <w:t xml:space="preserve">Material Decarbonization:</w:t>
      </w:r>
      <w:r>
        <w:t xml:space="preserve"> </w:t>
      </w:r>
      <w:r>
        <w:t xml:space="preserve">Engage with suppliers to identify lower-carbon alternatives for high-impact components like PCBs and batteries, or explore design changes to reduce material intensity. Prioritize suppliers with transparent, primary data on their emissions.</w:t>
      </w:r>
    </w:p>
    <w:p>
      <w:pPr>
        <w:numPr>
          <w:ilvl w:val="0"/>
          <w:numId w:val="1022"/>
        </w:numPr>
        <w:pStyle w:val="Compact"/>
      </w:pPr>
      <w:r>
        <w:rPr>
          <w:bCs/>
          <w:b/>
        </w:rPr>
        <w:t xml:space="preserve">Enhanced Renewable Energy in Manufacturing:</w:t>
      </w:r>
      <w:r>
        <w:t xml:space="preserve"> </w:t>
      </w:r>
      <w:r>
        <w:t xml:space="preserve">Continue efforts to transition to 100% renewable energy at manufacturing facilities in China and across the supply chain.</w:t>
      </w:r>
    </w:p>
    <w:p>
      <w:pPr>
        <w:numPr>
          <w:ilvl w:val="0"/>
          <w:numId w:val="1022"/>
        </w:numPr>
        <w:pStyle w:val="Compact"/>
      </w:pPr>
      <w:r>
        <w:rPr>
          <w:bCs/>
          <w:b/>
        </w:rPr>
        <w:t xml:space="preserve">Energy-Efficient Design for Use Phase:</w:t>
      </w:r>
      <w:r>
        <w:t xml:space="preserve"> </w:t>
      </w:r>
      <w:r>
        <w:t xml:space="preserve">Focus on further reducing the energy consumption of `udlfevdnfw` during its operational life, aligning with user behavior and product function.</w:t>
      </w:r>
    </w:p>
    <w:p>
      <w:pPr>
        <w:numPr>
          <w:ilvl w:val="0"/>
          <w:numId w:val="1022"/>
        </w:numPr>
        <w:pStyle w:val="Compact"/>
      </w:pPr>
      <w:r>
        <w:rPr>
          <w:bCs/>
          <w:b/>
        </w:rPr>
        <w:t xml:space="preserve">Strengthening Circular Economy Initiatives:</w:t>
      </w:r>
      <w:r>
        <w:t xml:space="preserve"> </w:t>
      </w:r>
      <w:r>
        <w:t xml:space="preserve">Expand and promote the existing product take-back and refurbishment programs (`xgommxnthk`) to maximize material recovery and minimize waste, reducing the need for virgin materials.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udlfevdnfw</dc:title>
  <dc:creator/>
  <dc:description>Detailed Product Carbon Footprint (PCF) analysis report for udlfevdnfw by Senior Sustainability Consultant qxnsgdxfex for swweyoxxom, adhering to GHG Protocol standards and 2026 updates.</dc:description>
  <dc:language>en</dc:language>
  <cp:keywords/>
  <dcterms:created xsi:type="dcterms:W3CDTF">2026-05-30T18:15:52Z</dcterms:created>
  <dcterms:modified xsi:type="dcterms:W3CDTF">2026-05-30T18:15:52Z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