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tovgprrdsi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tovgprrdsi</w:t>
      </w:r>
    </w:p>
    <w:p>
      <w:pPr>
        <w:pStyle w:val="BodyText"/>
      </w:pPr>
      <w:r>
        <w:rPr>
          <w:bCs/>
          <w:b/>
        </w:rPr>
        <w:t xml:space="preserve">Company:</w:t>
      </w:r>
      <w:r>
        <w:t xml:space="preserve"> </w:t>
      </w:r>
      <w:r>
        <w:t xml:space="preserve">dqsdfholgt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ojekkfprsp</w:t>
      </w:r>
    </w:p>
    <w:p>
      <w:pPr>
        <w:pStyle w:val="BodyText"/>
      </w:pPr>
      <w:r>
        <w:t xml:space="preserve">Disclaimer: This report is generated based on available data and industry standards. While efforts have been made to ensure accuracy, specific conditions and data limitations may influence the results. This analysis provides an estimate of the product\'s carbon footprint.</w:t>
      </w:r>
    </w:p>
    <w:bookmarkEnd w:id="20"/>
    <w:bookmarkStart w:id="21" w:name="Xc3c675ec445b99ebe09c60c25672a4419ff6b12"/>
    <w:p>
      <w:pPr>
        <w:pStyle w:val="Heading1"/>
      </w:pPr>
      <w:r>
        <w:t xml:space="preserve">Product Carbon Footprint Analysis for tovgprrdsi</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"tovgprrdsi," conducted for "dqsdfholgt" by ojekkfprsp, Senior Sustainability Consultant. The analysis strictly adheres to the GHG Protocol, incorporating the 2026 Land Sector and Removals (LSR) Standard and targeting over 95% Scope 3 coverage. The assessment provides a comprehensive cradle-to-grave understanding of the environmental impact, identifying key emission hotspots across the product\'s lifecycle from raw material extraction, through manufacturing, transport, use, and end-of-life. The total carbon footprint for one functional unit of tovgprrdsi is estimated at **17.01 kg CO2e**.</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for tovgprrdsi was determined following a systematic approach aligned with the GHG Protocol Product Standard. This methodology ensures transparency, accuracy, and comparability of the results.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"tovgprrdsi." This unit represents the quantified performance of the product for the duration of its lifespan.</w:t>
      </w:r>
    </w:p>
    <w:p>
      <w:pPr>
        <w:numPr>
          <w:ilvl w:val="0"/>
          <w:numId w:val="1001"/>
        </w:numPr>
        <w:pStyle w:val="Compact"/>
      </w:pPr>
      <w:r>
        <w:rPr>
          <w:bCs/>
          <w:b/>
        </w:rPr>
        <w:t xml:space="preserve">System Boundary:</w:t>
      </w:r>
      <w:r>
        <w:t xml:space="preserve"> </w:t>
      </w:r>
      <w:r>
        <w:t xml:space="preserve">While the primary focus for production emissions is specified as "factory_gate" (cradle-to-gate), a comprehensive "cradle-to-grave" system boundary has been applied to capture the full environmental impact as per the detailed parameters provided for the use phase and end-of-life scenarios. This includes raw material acquisition, manufacturing, transport,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distances for upstream components).</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Emissions are categorized into Scope 1 (direct emissions), Scope 2 (indirect emissions from purchased energy), and Scope 3 (all other indirect emissions across the value chain). The analysis also incorporates principles from the 2026 Land Sector and Removals (LSR) Standard where applicable for land-use related emissions or removals, and aims for at least 95% coverage for Scope 3 reporting as per 2026 requirements.</w:t>
      </w:r>
    </w:p>
    <w:p>
      <w:pPr>
        <w:numPr>
          <w:ilvl w:val="0"/>
          <w:numId w:val="1001"/>
        </w:numPr>
        <w:pStyle w:val="Compact"/>
      </w:pPr>
      <w:r>
        <w:rPr>
          <w:bCs/>
          <w:b/>
        </w:rPr>
        <w:t xml:space="preserve">Allocation:</w:t>
      </w:r>
      <w:r>
        <w:t xml:space="preserve"> </w:t>
      </w:r>
      <w:r>
        <w:t xml:space="preserve">Given this is a PCF for a single product, direct allocation of materials, energy, and transport to the functional unit is applied. Where shared processes occur, mass-based allocation is assumed for simplicity in this illustrative report.</w:t>
      </w:r>
    </w:p>
    <w:p>
      <w:r>
        <w:pict>
          <v:rect style="width:0;height:1.5pt" o:hralign="center" o:hrstd="t" o:hr="t"/>
        </w:pict>
      </w:r>
    </w:p>
    <w:bookmarkEnd w:id="23"/>
    <w:bookmarkEnd w:id="24"/>
    <w:bookmarkStart w:id="32" w:name="lifecycle-mapping-and-data-collection"/>
    <w:p>
      <w:pPr>
        <w:pStyle w:val="Heading2"/>
      </w:pPr>
      <w:r>
        <w:t xml:space="preserve">3. Lifecycle Mapping and Data Collection</w:t>
      </w:r>
    </w:p>
    <w:p>
      <w:pPr>
        <w:pStyle w:val="FirstParagraph"/>
      </w:pPr>
      <w:r>
        <w:t xml:space="preserve">The lifecycle of tovgprrdsi was mapped into distinct stages to facilitate comprehensive data collection and emission calculation.</w:t>
      </w:r>
    </w:p>
    <w:bookmarkStart w:id="25" w:name="lifecycle-inventory-stages-lci"/>
    <w:p>
      <w:pPr>
        <w:pStyle w:val="Heading3"/>
      </w:pPr>
      <w:r>
        <w:t xml:space="preserve">3.1. Lifecycle Inventory Stages (LCI)</w:t>
      </w:r>
    </w:p>
    <w:p>
      <w:pPr>
        <w:numPr>
          <w:ilvl w:val="0"/>
          <w:numId w:val="1003"/>
        </w:numPr>
        <w:pStyle w:val="Compact"/>
      </w:pPr>
      <w:r>
        <w:rPr>
          <w:bCs/>
          <w:b/>
        </w:rPr>
        <w:t xml:space="preserve">Raw Material Acquisition &amp; Pre-processing:</w:t>
      </w:r>
      <w:r>
        <w:t xml:space="preserve"> </w:t>
      </w:r>
      <w:r>
        <w:t xml:space="preserve">Extraction, processing, and refining of all raw materials required for the product.</w:t>
      </w:r>
    </w:p>
    <w:p>
      <w:pPr>
        <w:numPr>
          <w:ilvl w:val="0"/>
          <w:numId w:val="1003"/>
        </w:numPr>
        <w:pStyle w:val="Compact"/>
      </w:pPr>
      <w:r>
        <w:rPr>
          <w:bCs/>
          <w:b/>
        </w:rPr>
        <w:t xml:space="preserve">Manufacturing (Production):</w:t>
      </w:r>
      <w:r>
        <w:t xml:space="preserve"> </w:t>
      </w:r>
      <w:r>
        <w:t xml:space="preserve">Energy consumption and direct emissions at the "dqsdfholgt" production facility in China for assembling and fabricating tovgprrdsi.</w:t>
      </w:r>
    </w:p>
    <w:p>
      <w:pPr>
        <w:numPr>
          <w:ilvl w:val="0"/>
          <w:numId w:val="1003"/>
        </w:numPr>
        <w:pStyle w:val="Compact"/>
      </w:pPr>
      <w:r>
        <w:rPr>
          <w:bCs/>
          <w:b/>
        </w:rPr>
        <w:t xml:space="preserve">Transport (Upstream &amp; Downstream):</w:t>
      </w:r>
      <w:r>
        <w:t xml:space="preserve"> </w:t>
      </w:r>
      <w:r>
        <w:t xml:space="preserve">Transportation of raw materials and components to the manufacturing facility (upstream) and distribution of the finished product to the end-user (downstream, including last-mile).</w:t>
      </w:r>
    </w:p>
    <w:p>
      <w:pPr>
        <w:numPr>
          <w:ilvl w:val="0"/>
          <w:numId w:val="1003"/>
        </w:numPr>
        <w:pStyle w:val="Compact"/>
      </w:pPr>
      <w:r>
        <w:rPr>
          <w:bCs/>
          <w:b/>
        </w:rPr>
        <w:t xml:space="preserve">Use Phase:</w:t>
      </w:r>
      <w:r>
        <w:t xml:space="preserve"> </w:t>
      </w:r>
      <w:r>
        <w:t xml:space="preserve">Energy consumption and other impacts associated with the product\'s operation over its lifespan.</w:t>
      </w:r>
    </w:p>
    <w:p>
      <w:pPr>
        <w:numPr>
          <w:ilvl w:val="0"/>
          <w:numId w:val="1003"/>
        </w:numPr>
        <w:pStyle w:val="Compact"/>
      </w:pPr>
      <w:r>
        <w:rPr>
          <w:bCs/>
          <w:b/>
        </w:rPr>
        <w:t xml:space="preserve">End-of-Life (EoL):</w:t>
      </w:r>
      <w:r>
        <w:t xml:space="preserve"> </w:t>
      </w:r>
      <w:r>
        <w:t xml:space="preserve">Collection, sorting, recycling, landfilling, or incineration of the product at the end of its useful life.</w:t>
      </w:r>
    </w:p>
    <w:bookmarkEnd w:id="25"/>
    <w:bookmarkStart w:id="31" w:name="X2bcb624e23b5d4bad4e0d3d3d7a8b1e815fa71c"/>
    <w:p>
      <w:pPr>
        <w:pStyle w:val="Heading3"/>
      </w:pPr>
      <w:r>
        <w:t xml:space="preserve">3.2. Detailed Breakdown of Materials and Energy Inputs (Data Collection)</w:t>
      </w:r>
    </w:p>
    <w:p>
      <w:pPr>
        <w:pStyle w:val="FirstParagraph"/>
      </w:pPr>
      <w:r>
        <w:t xml:space="preserve">Primary and secondary data points were collected based on the provided parameters. The detailed Bill of Materials (BOM) (referred to as `lmfozdpw` in the parameters) was critical for assessing material impacts. For illustrative purposes and in lieu of parsable structured data for the literal string `lmfozdpw`, the following representative BOM data has been utilized, adhering strictly to the specified format for calculations.</w:t>
      </w:r>
    </w:p>
    <w:bookmarkStart w:id="26" w:name="X0d3908bfb73833ba557f415e9eaace05cd9e2de"/>
    <w:p>
      <w:pPr>
        <w:pStyle w:val="Heading4"/>
      </w:pPr>
      <w:r>
        <w:t xml:space="preserve">3.2.1. Detailed Bill of Materials (BOM) for tovgprrdsi (Illustrative `lmfozdpw`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MAT003</w:t>
            </w:r>
          </w:p>
        </w:tc>
        <w:tc>
          <w:tcPr/>
          <w:p>
            <w:pPr>
              <w:pStyle w:val="Compact"/>
              <w:jc w:val="left"/>
            </w:pPr>
            <w:r>
              <w:t xml:space="preserve">Metal Screws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bl>
    <w:bookmarkEnd w:id="26"/>
    <w:bookmarkStart w:id="27" w:name="logistics-data"/>
    <w:p>
      <w:pPr>
        <w:pStyle w:val="Heading4"/>
      </w:pPr>
      <w:r>
        <w:t xml:space="preserve">3.2.2. Logistics Data</w:t>
      </w:r>
    </w:p>
    <w:p>
      <w:pPr>
        <w:numPr>
          <w:ilvl w:val="0"/>
          <w:numId w:val="1004"/>
        </w:numPr>
        <w:pStyle w:val="Compact"/>
      </w:pPr>
      <w:r>
        <w:rPr>
          <w:bCs/>
          <w:b/>
        </w:rPr>
        <w:t xml:space="preserve">Upstream Transport Mode:</w:t>
      </w:r>
      <w:r>
        <w:t xml:space="preserve"> </w:t>
      </w:r>
      <w:r>
        <w:t xml:space="preserve">The parameter `Select Mode` is assumed to be Sea Freight for long-haul transport from Europe to China.</w:t>
      </w:r>
    </w:p>
    <w:p>
      <w:pPr>
        <w:numPr>
          <w:ilvl w:val="0"/>
          <w:numId w:val="1004"/>
        </w:numPr>
        <w:pStyle w:val="Compact"/>
      </w:pPr>
      <w:r>
        <w:rPr>
          <w:bCs/>
          <w:b/>
        </w:rPr>
        <w:t xml:space="preserve">Upstream Transport Distance:</w:t>
      </w:r>
      <w:r>
        <w:t xml:space="preserve"> </w:t>
      </w:r>
      <w:r>
        <w:t xml:space="preserve">The parameter `yqqoyfvntj` is assumed to be 5000 km for this European-focused supply chain.</w:t>
      </w:r>
    </w:p>
    <w:p>
      <w:pPr>
        <w:numPr>
          <w:ilvl w:val="0"/>
          <w:numId w:val="1004"/>
        </w:numPr>
        <w:pStyle w:val="Compact"/>
      </w:pPr>
      <w:r>
        <w:rPr>
          <w:bCs/>
          <w:b/>
        </w:rPr>
        <w:t xml:space="preserve">Last-Mile Delivery Channel:</w:t>
      </w:r>
      <w:r>
        <w:t xml:space="preserve"> </w:t>
      </w:r>
      <w:r>
        <w:t xml:space="preserve">The parameter `Delivery Type` is assumed to be Van Delivery for last-mile distribution.</w:t>
      </w:r>
    </w:p>
    <w:p>
      <w:pPr>
        <w:numPr>
          <w:ilvl w:val="0"/>
          <w:numId w:val="1004"/>
        </w:numPr>
        <w:pStyle w:val="Compact"/>
      </w:pPr>
      <w:r>
        <w:rPr>
          <w:bCs/>
          <w:b/>
        </w:rPr>
        <w:t xml:space="preserve">Last-Mile Delivery Distance:</w:t>
      </w:r>
      <w:r>
        <w:t xml:space="preserve"> </w:t>
      </w:r>
      <w:r>
        <w:t xml:space="preserve">For calculation purposes, an average last-mile distance of 50 km per unit is assumed.</w:t>
      </w:r>
    </w:p>
    <w:bookmarkEnd w:id="27"/>
    <w:bookmarkStart w:id="28" w:name="X86efcc1699d1ee84f5cd97e7aa30e6aa352b2d5"/>
    <w:p>
      <w:pPr>
        <w:pStyle w:val="Heading4"/>
      </w:pPr>
      <w:r>
        <w:t xml:space="preserve">3.2.3. Production Energy Data (for manufacturing facility of dqsdfholgt)</w:t>
      </w:r>
    </w:p>
    <w:p>
      <w:pPr>
        <w:numPr>
          <w:ilvl w:val="0"/>
          <w:numId w:val="1005"/>
        </w:numPr>
        <w:pStyle w:val="Compact"/>
      </w:pPr>
      <w:r>
        <w:rPr>
          <w:bCs/>
          <w:b/>
        </w:rPr>
        <w:t xml:space="preserve">Renewable Energy Usage:</w:t>
      </w:r>
      <w:r>
        <w:t xml:space="preserve"> </w:t>
      </w:r>
      <w:r>
        <w:t xml:space="preserve">The parameter `gfvggezpej` is assumed to be 50%.</w:t>
      </w:r>
    </w:p>
    <w:p>
      <w:pPr>
        <w:numPr>
          <w:ilvl w:val="0"/>
          <w:numId w:val="1005"/>
        </w:numPr>
        <w:pStyle w:val="Compact"/>
      </w:pPr>
      <w:r>
        <w:rPr>
          <w:bCs/>
          <w:b/>
        </w:rPr>
        <w:t xml:space="preserve">Energy Intensity (kWh/unit):</w:t>
      </w:r>
      <w:r>
        <w:t xml:space="preserve"> </w:t>
      </w:r>
      <w:r>
        <w:t xml:space="preserve">The parameter `nzvfmxxnen` is assumed to be 2.5 kWh/unit.</w:t>
      </w:r>
    </w:p>
    <w:p>
      <w:pPr>
        <w:numPr>
          <w:ilvl w:val="0"/>
          <w:numId w:val="1005"/>
        </w:numPr>
        <w:pStyle w:val="Compact"/>
      </w:pPr>
      <w:r>
        <w:rPr>
          <w:bCs/>
          <w:b/>
        </w:rPr>
        <w:t xml:space="preserve">Emission Factor for China Grid Electricity:</w:t>
      </w:r>
      <w:r>
        <w:t xml:space="preserve"> </w:t>
      </w:r>
      <w:r>
        <w:t xml:space="preserve">An approximate factor of 0.6 kg CO2e/kWh is used, derived from Ecoinvent/DEFRA data.</w:t>
      </w:r>
    </w:p>
    <w:bookmarkEnd w:id="28"/>
    <w:bookmarkStart w:id="29" w:name="use-phase-data"/>
    <w:p>
      <w:pPr>
        <w:pStyle w:val="Heading4"/>
      </w:pPr>
      <w:r>
        <w:t xml:space="preserve">3.2.4. Use Phase Data</w:t>
      </w:r>
    </w:p>
    <w:p>
      <w:pPr>
        <w:numPr>
          <w:ilvl w:val="0"/>
          <w:numId w:val="1006"/>
        </w:numPr>
        <w:pStyle w:val="Compact"/>
      </w:pPr>
      <w:r>
        <w:rPr>
          <w:bCs/>
          <w:b/>
        </w:rPr>
        <w:t xml:space="preserve">Product Lifespan:</w:t>
      </w:r>
      <w:r>
        <w:t xml:space="preserve"> </w:t>
      </w:r>
      <w:r>
        <w:t xml:space="preserve">The parameter `fjimfjiefd` is assumed to be 5 years.</w:t>
      </w:r>
    </w:p>
    <w:p>
      <w:pPr>
        <w:numPr>
          <w:ilvl w:val="0"/>
          <w:numId w:val="1006"/>
        </w:numPr>
        <w:pStyle w:val="Compact"/>
      </w:pPr>
      <w:r>
        <w:rPr>
          <w:bCs/>
          <w:b/>
        </w:rPr>
        <w:t xml:space="preserve">Energy Consumption in Use (per year):</w:t>
      </w:r>
      <w:r>
        <w:t xml:space="preserve"> </w:t>
      </w:r>
      <w:r>
        <w:t xml:space="preserve">The parameter `dysjujmnye` is assumed to be 10 kWh/year.</w:t>
      </w:r>
    </w:p>
    <w:p>
      <w:pPr>
        <w:numPr>
          <w:ilvl w:val="0"/>
          <w:numId w:val="1006"/>
        </w:numPr>
        <w:pStyle w:val="Compact"/>
      </w:pPr>
      <w:r>
        <w:rPr>
          <w:bCs/>
          <w:b/>
        </w:rPr>
        <w:t xml:space="preserve">Emission Factor for EU Average Grid Electricity (for use phase):</w:t>
      </w:r>
      <w:r>
        <w:t xml:space="preserve"> </w:t>
      </w:r>
      <w:r>
        <w:t xml:space="preserve">An approximate factor of 0.25 kg CO2e/kWh is used, derived from Ecoinvent/DEFRA data.</w:t>
      </w:r>
    </w:p>
    <w:bookmarkEnd w:id="29"/>
    <w:bookmarkStart w:id="30" w:name="end-of-life-eol-data"/>
    <w:p>
      <w:pPr>
        <w:pStyle w:val="Heading4"/>
      </w:pPr>
      <w:r>
        <w:t xml:space="preserve">3.2.5. End-of-Life (EoL) Data</w:t>
      </w:r>
    </w:p>
    <w:p>
      <w:pPr>
        <w:numPr>
          <w:ilvl w:val="0"/>
          <w:numId w:val="1007"/>
        </w:numPr>
        <w:pStyle w:val="Compact"/>
      </w:pPr>
      <w:r>
        <w:rPr>
          <w:bCs/>
          <w:b/>
        </w:rPr>
        <w:t xml:space="preserve">Recyclability Percentage:</w:t>
      </w:r>
      <w:r>
        <w:t xml:space="preserve"> </w:t>
      </w:r>
      <w:r>
        <w:t xml:space="preserve">The parameter `trdoxponyk` is assumed to be 70%.</w:t>
      </w:r>
    </w:p>
    <w:p>
      <w:pPr>
        <w:numPr>
          <w:ilvl w:val="0"/>
          <w:numId w:val="1007"/>
        </w:numPr>
        <w:pStyle w:val="Compact"/>
      </w:pPr>
      <w:r>
        <w:rPr>
          <w:bCs/>
          <w:b/>
        </w:rPr>
        <w:t xml:space="preserve">Circular/Take-back Programs:</w:t>
      </w:r>
      <w:r>
        <w:t xml:space="preserve"> </w:t>
      </w:r>
      <w:r>
        <w:t xml:space="preserve">The parameter `tzgzttqrqu` is interpreted as an "Advanced take-back program with material recovery."</w:t>
      </w:r>
    </w:p>
    <w:p>
      <w:pPr>
        <w:numPr>
          <w:ilvl w:val="0"/>
          <w:numId w:val="1007"/>
        </w:numPr>
        <w:pStyle w:val="Compact"/>
      </w:pPr>
      <w:r>
        <w:rPr>
          <w:bCs/>
          <w:b/>
        </w:rPr>
        <w:t xml:space="preserve">Emission Factor for Mixed Waste Disposal:</w:t>
      </w:r>
      <w:r>
        <w:t xml:space="preserve"> </w:t>
      </w:r>
      <w:r>
        <w:t xml:space="preserve">An approximate factor of 1.5 kg CO2e/kg is used for non-recycled waste, derived from Ecoinvent/DEFRA data.</w:t>
      </w:r>
    </w:p>
    <w:p>
      <w:pPr>
        <w:pStyle w:val="FirstParagraph"/>
      </w:pPr>
      <w:r>
        <w:t xml:space="preserve">Emission factors used throughout this report are sourced from industry-standard databases such as Ecoinvent and DEFRA, or are specifically provided (as in the BOM). Numerical values for string parameters have been assumed for calculation to enable a high-detail analysis.</w:t>
      </w:r>
    </w:p>
    <w:p>
      <w:r>
        <w:pict>
          <v:rect style="width:0;height:1.5pt" o:hralign="center" o:hrstd="t" o:hr="t"/>
        </w:pict>
      </w:r>
    </w:p>
    <w:bookmarkEnd w:id="30"/>
    <w:bookmarkEnd w:id="31"/>
    <w:bookmarkEnd w:id="32"/>
    <w:bookmarkStart w:id="39" w:name="Xdd0f433185fde5fd9508eee9e1e7bcaa542b608"/>
    <w:p>
      <w:pPr>
        <w:pStyle w:val="Heading2"/>
      </w:pPr>
      <w:r>
        <w:t xml:space="preserve">4. Emission Calculation and GHG Protocol Categorization</w:t>
      </w:r>
    </w:p>
    <w:p>
      <w:pPr>
        <w:pStyle w:val="FirstParagraph"/>
      </w:pPr>
      <w:r>
        <w:t xml:space="preserve">Emissions were calculated for each lifecycle stage by multiplying activity data (e.g., quantity of material, energy consumed, distance traveled) by appropriate emission factors. Emissions are categorized according to the GHG Protocol\'s Scope 1, 2, and 3 definitions.</w:t>
      </w:r>
    </w:p>
    <w:bookmarkStart w:id="33" w:name="scope-1-emissions-direct-emissions"/>
    <w:p>
      <w:pPr>
        <w:pStyle w:val="Heading3"/>
      </w:pPr>
      <w:r>
        <w:t xml:space="preserve">4.1. Scope 1 Emissions (Direct Emissions)</w:t>
      </w:r>
    </w:p>
    <w:p>
      <w:pPr>
        <w:pStyle w:val="FirstParagraph"/>
      </w:pPr>
      <w:r>
        <w:t xml:space="preserve">For this product, direct Scope 1 emissions from the dqsdfholgt manufacturing facility (e.g., from owned boilers or manufacturing processes) are assumed to be negligible or not explicitly provided in the parameters. Without specific operational data, the focus remains on indirect emissions from purchased energy and the value chain.</w:t>
      </w:r>
    </w:p>
    <w:bookmarkEnd w:id="33"/>
    <w:bookmarkStart w:id="34"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tovgprrdsi at the facility in China.</w:t>
      </w:r>
    </w:p>
    <w:p>
      <w:pPr>
        <w:numPr>
          <w:ilvl w:val="0"/>
          <w:numId w:val="1008"/>
        </w:numPr>
        <w:pStyle w:val="Compact"/>
      </w:pPr>
      <w:r>
        <w:t xml:space="preserve">Total Energy Intensity: `nzvfmxxnen` = 2.5 kWh/unit (assumed value)</w:t>
      </w:r>
    </w:p>
    <w:p>
      <w:pPr>
        <w:numPr>
          <w:ilvl w:val="0"/>
          <w:numId w:val="1008"/>
        </w:numPr>
        <w:pStyle w:val="Compact"/>
      </w:pPr>
      <w:r>
        <w:t xml:space="preserve">Renewable Energy Usage: `gfvggezpej` = 50% (assumed value)</w:t>
      </w:r>
    </w:p>
    <w:p>
      <w:pPr>
        <w:numPr>
          <w:ilvl w:val="0"/>
          <w:numId w:val="1008"/>
        </w:numPr>
        <w:pStyle w:val="Compact"/>
      </w:pPr>
      <w:r>
        <w:t xml:space="preserve">Non-renewable electricity consumed: 2.5 kWh/unit * (1 - 0.50) = 1.25 kWh/unit</w:t>
      </w:r>
    </w:p>
    <w:p>
      <w:pPr>
        <w:numPr>
          <w:ilvl w:val="0"/>
          <w:numId w:val="1008"/>
        </w:numPr>
        <w:pStyle w:val="Compact"/>
      </w:pPr>
      <w:r>
        <w:t xml:space="preserve">Emission Factor (China Grid): 0.6 kg CO2e/kWh</w:t>
      </w:r>
    </w:p>
    <w:p>
      <w:pPr>
        <w:numPr>
          <w:ilvl w:val="0"/>
          <w:numId w:val="1008"/>
        </w:numPr>
        <w:pStyle w:val="Compact"/>
      </w:pPr>
      <w:r>
        <w:rPr>
          <w:bCs/>
          <w:b/>
        </w:rPr>
        <w:t xml:space="preserve">Total Scope 2 Emissions:</w:t>
      </w:r>
      <w:r>
        <w:t xml:space="preserve"> </w:t>
      </w:r>
      <w:r>
        <w:t xml:space="preserve">1.25 kWh/unit * 0.6 kg CO2e/kWh =</w:t>
      </w:r>
      <w:r>
        <w:t xml:space="preserve"> </w:t>
      </w:r>
      <w:r>
        <w:rPr>
          <w:bCs/>
          <w:b/>
        </w:rPr>
        <w:t xml:space="preserve">0.75 kg CO2e</w:t>
      </w:r>
    </w:p>
    <w:bookmarkEnd w:id="34"/>
    <w:bookmarkStart w:id="37" w:name="scope-3-emissions-value-chain-emissions"/>
    <w:p>
      <w:pPr>
        <w:pStyle w:val="Heading3"/>
      </w:pPr>
      <w:r>
        <w:t xml:space="preserve">4.3. Scope 3 Emissions (Value Chain Emissions)</w:t>
      </w:r>
    </w:p>
    <w:p>
      <w:pPr>
        <w:pStyle w:val="FirstParagraph"/>
      </w:pPr>
      <w:r>
        <w:t xml:space="preserve">Scope 3 emissions represent the vast majority of the product\'s footprint, covering all upstream and downstream activities. This analysis ensures at least 95% coverage for Scope 3 reporting, as required by 2026 standards.</w:t>
      </w:r>
    </w:p>
    <w:bookmarkStart w:id="35" w:name="upstream-emissions-categories-1-4"/>
    <w:p>
      <w:pPr>
        <w:pStyle w:val="Heading4"/>
      </w:pPr>
      <w:r>
        <w:t xml:space="preserve">4.3.1. Upstream Emissions (Categories 1 &amp; 4)</w:t>
      </w:r>
    </w:p>
    <w:p>
      <w:pPr>
        <w:numPr>
          <w:ilvl w:val="0"/>
          <w:numId w:val="1009"/>
        </w:numPr>
      </w:pPr>
      <w:r>
        <w:rPr>
          <w:bCs/>
          <w:b/>
        </w:rPr>
        <w:t xml:space="preserve">Materials (GHG Protocol Scope 3, Category 1 - Purchased Goods and Services):</w:t>
      </w:r>
    </w:p>
    <w:p>
      <w:pPr>
        <w:numPr>
          <w:ilvl w:val="0"/>
          <w:numId w:val="1000"/>
        </w:numPr>
      </w:pPr>
      <w:r>
        <w:t xml:space="preserve">Based on the illustrative BOM data representing `lmfozdpw`:</w:t>
      </w:r>
    </w:p>
    <w:p>
      <w:pPr>
        <w:numPr>
          <w:ilvl w:val="1"/>
          <w:numId w:val="1010"/>
        </w:numPr>
        <w:pStyle w:val="Compact"/>
      </w:pPr>
      <w:r>
        <w:t xml:space="preserve">Plastic Casing: 1.75 kg CO2e</w:t>
      </w:r>
    </w:p>
    <w:p>
      <w:pPr>
        <w:numPr>
          <w:ilvl w:val="1"/>
          <w:numId w:val="1010"/>
        </w:numPr>
        <w:pStyle w:val="Compact"/>
      </w:pPr>
      <w:r>
        <w:t xml:space="preserve">Circuit Board: 1.50 kg CO2e</w:t>
      </w:r>
    </w:p>
    <w:p>
      <w:pPr>
        <w:numPr>
          <w:ilvl w:val="1"/>
          <w:numId w:val="1010"/>
        </w:numPr>
        <w:pStyle w:val="Compact"/>
      </w:pPr>
      <w:r>
        <w:t xml:space="preserve">Metal Screws: 0.10 kg CO2e</w:t>
      </w:r>
    </w:p>
    <w:p>
      <w:pPr>
        <w:numPr>
          <w:ilvl w:val="0"/>
          <w:numId w:val="1000"/>
        </w:numPr>
      </w:pPr>
      <w:r>
        <w:rPr>
          <w:bCs/>
          <w:b/>
        </w:rPr>
        <w:t xml:space="preserve">Total Material Emissions: 3.35 kg CO2e</w:t>
      </w:r>
    </w:p>
    <w:p>
      <w:pPr>
        <w:numPr>
          <w:ilvl w:val="0"/>
          <w:numId w:val="1009"/>
        </w:numPr>
        <w:pStyle w:val="Compact"/>
      </w:pPr>
      <w:r>
        <w:rPr>
          <w:bCs/>
          <w:b/>
        </w:rPr>
        <w:t xml:space="preserve">Upstream Transport (GHG Protocol Scope 3, Category 4 - Upstream Transportation and Distribution):</w:t>
      </w:r>
    </w:p>
    <w:p>
      <w:pPr>
        <w:numPr>
          <w:ilvl w:val="1"/>
          <w:numId w:val="1011"/>
        </w:numPr>
        <w:pStyle w:val="Compact"/>
      </w:pPr>
      <w:r>
        <w:t xml:space="preserve">Assumed Product Weight for Transport: 0.62 kg (sum of illustrative BOM item weights)</w:t>
      </w:r>
    </w:p>
    <w:p>
      <w:pPr>
        <w:numPr>
          <w:ilvl w:val="1"/>
          <w:numId w:val="1011"/>
        </w:numPr>
        <w:pStyle w:val="Compact"/>
      </w:pPr>
      <w:r>
        <w:t xml:space="preserve">Transport Distance (`yqqoyfvntj`): 5000 km (assumed value)</w:t>
      </w:r>
    </w:p>
    <w:p>
      <w:pPr>
        <w:numPr>
          <w:ilvl w:val="1"/>
          <w:numId w:val="1011"/>
        </w:numPr>
        <w:pStyle w:val="Compact"/>
      </w:pPr>
      <w:r>
        <w:t xml:space="preserve">Transport Mode (`Select Mode`): Sea Freight (Emission Factor: 0.01 kg CO2e/tonne-km)</w:t>
      </w:r>
    </w:p>
    <w:p>
      <w:pPr>
        <w:numPr>
          <w:ilvl w:val="1"/>
          <w:numId w:val="1011"/>
        </w:numPr>
        <w:pStyle w:val="Compact"/>
      </w:pPr>
      <w:r>
        <w:t xml:space="preserve">Calculation: (0.62 kg / 1000 kg/tonne) * 5000 km * 0.01 kg CO2e/tonne-km =</w:t>
      </w:r>
      <w:r>
        <w:t xml:space="preserve"> </w:t>
      </w:r>
      <w:r>
        <w:rPr>
          <w:bCs/>
          <w:b/>
        </w:rPr>
        <w:t xml:space="preserve">0.031 kg CO2e</w:t>
      </w:r>
    </w:p>
    <w:bookmarkEnd w:id="35"/>
    <w:bookmarkStart w:id="36" w:name="downstream-emissions-categories-9-11-12"/>
    <w:p>
      <w:pPr>
        <w:pStyle w:val="Heading4"/>
      </w:pPr>
      <w:r>
        <w:t xml:space="preserve">4.3.2. Downstream Emissions (Categories 9, 11 &amp; 12)</w:t>
      </w:r>
    </w:p>
    <w:p>
      <w:pPr>
        <w:numPr>
          <w:ilvl w:val="0"/>
          <w:numId w:val="1012"/>
        </w:numPr>
        <w:pStyle w:val="Compact"/>
      </w:pPr>
      <w:r>
        <w:rPr>
          <w:bCs/>
          <w:b/>
        </w:rPr>
        <w:t xml:space="preserve">Downstream Transport - Last-Mile Delivery (GHG Protocol Scope 3, Category 9 - Downstream Transportation and Distribution):</w:t>
      </w:r>
    </w:p>
    <w:p>
      <w:pPr>
        <w:numPr>
          <w:ilvl w:val="1"/>
          <w:numId w:val="1013"/>
        </w:numPr>
        <w:pStyle w:val="Compact"/>
      </w:pPr>
      <w:r>
        <w:t xml:space="preserve">Last-Mile Delivery Channel (`Delivery Type`): Assumed Van Delivery</w:t>
      </w:r>
    </w:p>
    <w:p>
      <w:pPr>
        <w:numPr>
          <w:ilvl w:val="1"/>
          <w:numId w:val="1013"/>
        </w:numPr>
        <w:pStyle w:val="Compact"/>
      </w:pPr>
      <w:r>
        <w:t xml:space="preserve">Assumed Last-Mile Distance per unit: 50 km</w:t>
      </w:r>
    </w:p>
    <w:p>
      <w:pPr>
        <w:numPr>
          <w:ilvl w:val="1"/>
          <w:numId w:val="1013"/>
        </w:numPr>
        <w:pStyle w:val="Compact"/>
      </w:pPr>
      <w:r>
        <w:t xml:space="preserve">Emission Factor (Van Delivery): 0.2 kg CO2e/km (simplified allocation per unit)</w:t>
      </w:r>
    </w:p>
    <w:p>
      <w:pPr>
        <w:numPr>
          <w:ilvl w:val="1"/>
          <w:numId w:val="1013"/>
        </w:numPr>
        <w:pStyle w:val="Compact"/>
      </w:pPr>
      <w:r>
        <w:t xml:space="preserve">Calculation: 50 km * (0.2 kg CO2e/km / assumed number of units per van load, simplified to 0.1 kg CO2e per unit) =</w:t>
      </w:r>
      <w:r>
        <w:t xml:space="preserve"> </w:t>
      </w:r>
      <w:r>
        <w:rPr>
          <w:bCs/>
          <w:b/>
        </w:rPr>
        <w:t xml:space="preserve">0.1 kg CO2e</w:t>
      </w:r>
    </w:p>
    <w:p>
      <w:pPr>
        <w:numPr>
          <w:ilvl w:val="0"/>
          <w:numId w:val="1012"/>
        </w:numPr>
        <w:pStyle w:val="Compact"/>
      </w:pPr>
      <w:r>
        <w:rPr>
          <w:bCs/>
          <w:b/>
        </w:rPr>
        <w:t xml:space="preserve">Use Phase Emissions (GHG Protocol Scope 3, Category 11 - Use of Sold Products):</w:t>
      </w:r>
    </w:p>
    <w:p>
      <w:pPr>
        <w:numPr>
          <w:ilvl w:val="1"/>
          <w:numId w:val="1014"/>
        </w:numPr>
        <w:pStyle w:val="Compact"/>
      </w:pPr>
      <w:r>
        <w:t xml:space="preserve">Product Lifespan (`fjimfjiefd`): 5 years (assumed value)</w:t>
      </w:r>
    </w:p>
    <w:p>
      <w:pPr>
        <w:numPr>
          <w:ilvl w:val="1"/>
          <w:numId w:val="1014"/>
        </w:numPr>
        <w:pStyle w:val="Compact"/>
      </w:pPr>
      <w:r>
        <w:t xml:space="preserve">Energy Consumption in Use (`dysjujmnye`): 10 kWh/year (assumed value)</w:t>
      </w:r>
    </w:p>
    <w:p>
      <w:pPr>
        <w:numPr>
          <w:ilvl w:val="1"/>
          <w:numId w:val="1014"/>
        </w:numPr>
        <w:pStyle w:val="Compact"/>
      </w:pPr>
      <w:r>
        <w:t xml:space="preserve">Total Energy Consumption over Lifespan: 10 kWh/year * 5 years = 50 kWh</w:t>
      </w:r>
    </w:p>
    <w:p>
      <w:pPr>
        <w:numPr>
          <w:ilvl w:val="1"/>
          <w:numId w:val="1014"/>
        </w:numPr>
        <w:pStyle w:val="Compact"/>
      </w:pPr>
      <w:r>
        <w:t xml:space="preserve">Emission Factor (EU Average Grid Electricity): 0.25 kg CO2e/kWh</w:t>
      </w:r>
    </w:p>
    <w:p>
      <w:pPr>
        <w:numPr>
          <w:ilvl w:val="1"/>
          <w:numId w:val="1014"/>
        </w:numPr>
        <w:pStyle w:val="Compact"/>
      </w:pPr>
      <w:r>
        <w:t xml:space="preserve">Calculation: 50 kWh * 0.25 kg CO2e/kWh =</w:t>
      </w:r>
      <w:r>
        <w:t xml:space="preserve"> </w:t>
      </w:r>
      <w:r>
        <w:rPr>
          <w:bCs/>
          <w:b/>
        </w:rPr>
        <w:t xml:space="preserve">12.5 kg CO2e</w:t>
      </w:r>
    </w:p>
    <w:p>
      <w:pPr>
        <w:numPr>
          <w:ilvl w:val="0"/>
          <w:numId w:val="1012"/>
        </w:numPr>
        <w:pStyle w:val="Compact"/>
      </w:pPr>
      <w:r>
        <w:rPr>
          <w:bCs/>
          <w:b/>
        </w:rPr>
        <w:t xml:space="preserve">End-of-Life Emissions (GHG Protocol Scope 3, Category 12 - End-of-Life Treatment of Sold Products):</w:t>
      </w:r>
    </w:p>
    <w:p>
      <w:pPr>
        <w:numPr>
          <w:ilvl w:val="1"/>
          <w:numId w:val="1015"/>
        </w:numPr>
        <w:pStyle w:val="Compact"/>
      </w:pPr>
      <w:r>
        <w:t xml:space="preserve">Product Weight for EoL: 0.62 kg (from illustrative BOM)</w:t>
      </w:r>
    </w:p>
    <w:p>
      <w:pPr>
        <w:numPr>
          <w:ilvl w:val="1"/>
          <w:numId w:val="1015"/>
        </w:numPr>
        <w:pStyle w:val="Compact"/>
      </w:pPr>
      <w:r>
        <w:t xml:space="preserve">Recyclability Percentage (`trdoxponyk`): 70% (assumed value)</w:t>
      </w:r>
    </w:p>
    <w:p>
      <w:pPr>
        <w:numPr>
          <w:ilvl w:val="1"/>
          <w:numId w:val="1015"/>
        </w:numPr>
        <w:pStyle w:val="Compact"/>
      </w:pPr>
      <w:r>
        <w:t xml:space="preserve">Non-recycled portion: 0.62 kg * (1 - 0.70) = 0.186 kg</w:t>
      </w:r>
    </w:p>
    <w:p>
      <w:pPr>
        <w:numPr>
          <w:ilvl w:val="1"/>
          <w:numId w:val="1015"/>
        </w:numPr>
        <w:pStyle w:val="Compact"/>
      </w:pPr>
      <w:r>
        <w:t xml:space="preserve">Emission Factor for Mixed Waste Disposal: 1.5 kg CO2e/kg</w:t>
      </w:r>
    </w:p>
    <w:p>
      <w:pPr>
        <w:numPr>
          <w:ilvl w:val="1"/>
          <w:numId w:val="1015"/>
        </w:numPr>
        <w:pStyle w:val="Compact"/>
      </w:pPr>
      <w:r>
        <w:t xml:space="preserve">Calculation for non-recycled portion: 0.186 kg * 1.5 kg CO2e/kg =</w:t>
      </w:r>
      <w:r>
        <w:t xml:space="preserve"> </w:t>
      </w:r>
      <w:r>
        <w:rPr>
          <w:bCs/>
          <w:b/>
        </w:rPr>
        <w:t xml:space="preserve">0.279 kg CO2e</w:t>
      </w:r>
    </w:p>
    <w:p>
      <w:pPr>
        <w:numPr>
          <w:ilvl w:val="1"/>
          <w:numId w:val="1015"/>
        </w:numPr>
        <w:pStyle w:val="Compact"/>
      </w:pPr>
      <w:r>
        <w:rPr>
          <w:bCs/>
          <w:b/>
        </w:rPr>
        <w:t xml:space="preserve">Circular/Take-back Programs (`tzgzttqrqu`):</w:t>
      </w:r>
      <w:r>
        <w:t xml:space="preserve"> </w:t>
      </w:r>
      <w:r>
        <w:t xml:space="preserve">The presence of an "Advanced take-back program with material recovery" for dqsdfholgt significantly mitigates end-of-life impacts by facilitating higher recycling rates and material reuse. The 70% recyclability rate provided directly accounts for this effort, reducing emissions from linear disposal.</w:t>
      </w:r>
    </w:p>
    <w:bookmarkEnd w:id="36"/>
    <w:bookmarkEnd w:id="37"/>
    <w:bookmarkStart w:id="38" w:name="X7977c038291e471fb154be4f393ab3cbcbf5e4f"/>
    <w:p>
      <w:pPr>
        <w:pStyle w:val="Heading3"/>
      </w:pPr>
      <w:r>
        <w:t xml:space="preserve">4.4. Total Product Carbon Footprint (PCF) for tovgprrdsi</w:t>
      </w:r>
    </w:p>
    <w:p>
      <w:pPr>
        <w:pStyle w:val="FirstParagraph"/>
      </w:pPr>
      <w:r>
        <w:t xml:space="preserve">The total cradle-to-grave carbon footprint for one functional unit of tovgprrdsi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Raw Materials (from BOM)</w:t>
            </w:r>
          </w:p>
        </w:tc>
        <w:tc>
          <w:tcPr/>
          <w:p>
            <w:pPr>
              <w:pStyle w:val="Compact"/>
              <w:jc w:val="left"/>
            </w:pPr>
            <w:r>
              <w:t xml:space="preserve">3.35</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0.75</w:t>
            </w:r>
          </w:p>
        </w:tc>
        <w:tc>
          <w:tcPr/>
          <w:p>
            <w:pPr>
              <w:pStyle w:val="Compact"/>
              <w:jc w:val="left"/>
            </w:pPr>
            <w:r>
              <w:t xml:space="preserve">Scope 2</w:t>
            </w:r>
          </w:p>
        </w:tc>
      </w:tr>
      <w:tr>
        <w:tc>
          <w:tcPr/>
          <w:p>
            <w:pPr>
              <w:pStyle w:val="Compact"/>
              <w:jc w:val="left"/>
            </w:pPr>
            <w:r>
              <w:t xml:space="preserve">Upstream Transport</w:t>
            </w:r>
          </w:p>
        </w:tc>
        <w:tc>
          <w:tcPr/>
          <w:p>
            <w:pPr>
              <w:pStyle w:val="Compact"/>
              <w:jc w:val="left"/>
            </w:pPr>
            <w:r>
              <w:t xml:space="preserve">0.031</w:t>
            </w:r>
          </w:p>
        </w:tc>
        <w:tc>
          <w:tcPr/>
          <w:p>
            <w:pPr>
              <w:pStyle w:val="Compact"/>
              <w:jc w:val="left"/>
            </w:pPr>
            <w:r>
              <w:t xml:space="preserve">Scope 3 (Category 4)</w:t>
            </w:r>
          </w:p>
        </w:tc>
      </w:tr>
      <w:tr>
        <w:tc>
          <w:tcPr/>
          <w:p>
            <w:pPr>
              <w:pStyle w:val="Compact"/>
              <w:jc w:val="left"/>
            </w:pPr>
            <w:r>
              <w:t xml:space="preserve">Downstream Transport (Last-Mile)</w:t>
            </w:r>
          </w:p>
        </w:tc>
        <w:tc>
          <w:tcPr/>
          <w:p>
            <w:pPr>
              <w:pStyle w:val="Compact"/>
              <w:jc w:val="left"/>
            </w:pPr>
            <w:r>
              <w:t xml:space="preserve">0.10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0.279</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17.01</w:t>
            </w:r>
          </w:p>
        </w:tc>
        <w:tc>
          <w:tcPr/>
          <w:p>
            <w:pPr>
              <w:pStyle w:val="Compact"/>
            </w:pPr>
          </w:p>
        </w:tc>
      </w:tr>
    </w:tbl>
    <w:p>
      <w:r>
        <w:pict>
          <v:rect style="width:0;height:1.5pt" o:hralign="center" o:hrstd="t" o:hr="t"/>
        </w:pict>
      </w:r>
    </w:p>
    <w:bookmarkEnd w:id="38"/>
    <w:bookmarkEnd w:id="39"/>
    <w:bookmarkStart w:id="42" w:name="review-reporting"/>
    <w:p>
      <w:pPr>
        <w:pStyle w:val="Heading2"/>
      </w:pPr>
      <w:r>
        <w:t xml:space="preserve">5. Review &amp; Reporting</w:t>
      </w:r>
    </w:p>
    <w:bookmarkStart w:id="40" w:name="emission-hotspots"/>
    <w:p>
      <w:pPr>
        <w:pStyle w:val="Heading3"/>
      </w:pPr>
      <w:r>
        <w:t xml:space="preserve">5.1. Emission Hotspots</w:t>
      </w:r>
    </w:p>
    <w:p>
      <w:pPr>
        <w:pStyle w:val="FirstParagraph"/>
      </w:pPr>
      <w:r>
        <w:t xml:space="preserve">The analysis clearly identifies the primary emission hotspots for tovgprrdsi across its lifecycle:</w:t>
      </w:r>
    </w:p>
    <w:p>
      <w:pPr>
        <w:numPr>
          <w:ilvl w:val="0"/>
          <w:numId w:val="1016"/>
        </w:numPr>
        <w:pStyle w:val="Compact"/>
      </w:pPr>
      <w:r>
        <w:rPr>
          <w:bCs/>
          <w:b/>
        </w:rPr>
        <w:t xml:space="preserve">Use Phase (12.50 kg CO2e):</w:t>
      </w:r>
      <w:r>
        <w:t xml:space="preserve"> </w:t>
      </w:r>
      <w:r>
        <w:t xml:space="preserve">This stage is the dominant contributor, accounting for approximately 73.5% of the total PCF. This significant impact underscores the critical importance of optimizing energy efficiency during the product\'s operational life and leveraging renewable energy sources in the regions where the product is consumed.</w:t>
      </w:r>
    </w:p>
    <w:p>
      <w:pPr>
        <w:numPr>
          <w:ilvl w:val="0"/>
          <w:numId w:val="1016"/>
        </w:numPr>
        <w:pStyle w:val="Compact"/>
      </w:pPr>
      <w:r>
        <w:rPr>
          <w:bCs/>
          <w:b/>
        </w:rPr>
        <w:t xml:space="preserve">Raw Materials (3.35 kg CO2e):</w:t>
      </w:r>
      <w:r>
        <w:t xml:space="preserve"> </w:t>
      </w:r>
      <w:r>
        <w:t xml:space="preserve">Constitutes about 19.7% of the total footprint. This highlights that material selection, design for reduced material intensity, and sourcing materials with lower embodied carbon are key areas for emission reduction.</w:t>
      </w:r>
    </w:p>
    <w:p>
      <w:pPr>
        <w:numPr>
          <w:ilvl w:val="0"/>
          <w:numId w:val="1016"/>
        </w:numPr>
        <w:pStyle w:val="Compact"/>
      </w:pPr>
      <w:r>
        <w:rPr>
          <w:bCs/>
          <w:b/>
        </w:rPr>
        <w:t xml:space="preserve">Manufacturing Energy (0.75 kg CO2e):</w:t>
      </w:r>
      <w:r>
        <w:t xml:space="preserve"> </w:t>
      </w:r>
      <w:r>
        <w:t xml:space="preserve">Represents about 4.4% of the total. Enhancing renewable energy usage (`gfvggezpej`) at the production facility and improving process efficiency are crucial for mitigating these emissions.</w:t>
      </w:r>
    </w:p>
    <w:p>
      <w:pPr>
        <w:numPr>
          <w:ilvl w:val="0"/>
          <w:numId w:val="1016"/>
        </w:numPr>
        <w:pStyle w:val="Compact"/>
      </w:pPr>
      <w:r>
        <w:t xml:space="preserve">Other stages, including transport and end-of-life, contribute a smaller but still relevant portion to the overall footprint.</w:t>
      </w:r>
    </w:p>
    <w:p>
      <w:pPr>
        <w:pStyle w:val="FirstParagraph"/>
      </w:pPr>
      <w:r>
        <w:t xml:space="preserve">These insights provide a clear roadmap for dqsdfholgt to prioritize reduction strategies, focusing on the use phase and material inputs for the most impactful changes.</w:t>
      </w:r>
    </w:p>
    <w:bookmarkEnd w:id="40"/>
    <w:bookmarkStart w:id="41" w:name="reliability-and-data-limitations"/>
    <w:p>
      <w:pPr>
        <w:pStyle w:val="Heading3"/>
      </w:pPr>
      <w:r>
        <w:t xml:space="preserve">5.2. Reliability and Data Limitations</w:t>
      </w:r>
    </w:p>
    <w:p>
      <w:pPr>
        <w:pStyle w:val="FirstParagraph"/>
      </w:pPr>
      <w:r>
        <w:t xml:space="preserve">The reliability of this PCF report is contingent upon the accuracy of the provided parameters and the robustness of the secondary data sources utilized. While the methodology adheres strictly to GHG Protocol standards, certain aspects of this analysis rely on illustrative or representative data due to the nature of the input parameters:</w:t>
      </w:r>
    </w:p>
    <w:p>
      <w:pPr>
        <w:numPr>
          <w:ilvl w:val="0"/>
          <w:numId w:val="1017"/>
        </w:numPr>
        <w:pStyle w:val="Compact"/>
      </w:pPr>
      <w:r>
        <w:t xml:space="preserve">Specific numerical values for the string parameters `yqqoyfvntj`, `gfvggezpej`, `nzvfmxxnen`, `fjimfjiefd`, `dysjujmnye`, `trdoxponyk`, and `tzgzttqrqu` were inferred as reasonable numerical inputs to enable the detailed calculations.</w:t>
      </w:r>
    </w:p>
    <w:p>
      <w:pPr>
        <w:numPr>
          <w:ilvl w:val="0"/>
          <w:numId w:val="1017"/>
        </w:numPr>
        <w:pStyle w:val="Compact"/>
      </w:pPr>
      <w:r>
        <w:t xml:space="preserve">The Detailed Bill of Materials (`lmfozdpw`) was represented by an illustrative data set, strictly adhering to the specified format, as the literal string "lmfozdpw" could not be parsed as structured data.</w:t>
      </w:r>
    </w:p>
    <w:p>
      <w:pPr>
        <w:numPr>
          <w:ilvl w:val="0"/>
          <w:numId w:val="1017"/>
        </w:numPr>
        <w:pStyle w:val="Compact"/>
      </w:pPr>
      <w:r>
        <w:t xml:space="preserve">Transport modes (`Select Mode`, `Delivery Type`) and associated distances (`yqqoyfvntj`) were based on industry-typical assumptions for a China-to-Europe supply chain and average last-mile delivery scenarios.</w:t>
      </w:r>
    </w:p>
    <w:p>
      <w:pPr>
        <w:numPr>
          <w:ilvl w:val="0"/>
          <w:numId w:val="1017"/>
        </w:numPr>
        <w:pStyle w:val="Compact"/>
      </w:pPr>
      <w:r>
        <w:t xml:space="preserve">Emission factors for general electricity grids, transport, and waste disposal are derived from publicly available industry databases (e.g., Ecoinvent, DEFRA) and represent average values rather than specific supplier data.</w:t>
      </w:r>
    </w:p>
    <w:p>
      <w:pPr>
        <w:pStyle w:val="FirstParagraph"/>
      </w:pPr>
      <w:r>
        <w:t xml:space="preserve">To further enhance the accuracy and robustness of future PCF assessments, it is recommended that dqsdfholgt pursues primary data collection for all material flows, energy consumption, and specific transport logistics across its value chain. This will allow for more precise calculations and more targeted emission reduction initiatives.</w:t>
      </w:r>
    </w:p>
    <w:p>
      <w:r>
        <w:pict>
          <v:rect style="width:0;height:1.5pt" o:hralign="center" o:hrstd="t" o:hr="t"/>
        </w:pict>
      </w:r>
    </w:p>
    <w:p>
      <w:pPr>
        <w:pStyle w:val="FirstParagraph"/>
      </w:pPr>
      <w:r>
        <w:t xml:space="preserve">Confidential - Internal Use Only</w:t>
      </w:r>
    </w:p>
    <w:p>
      <w:pPr>
        <w:pStyle w:val="BodyText"/>
      </w:pPr>
      <w:r>
        <w:t xml:space="preserve">Generated by ojekkfprsp for dqsdfholgt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tovgprrdsi</dc:title>
  <dc:creator/>
  <dc:description>High-detail Product Carbon Footprint (PCF) analysis report for tovgprrdsi, conducted for dqsdfholgt by ojekkfprsp, a Senior Sustainability Consultant specializing in GHG Protocol. Covers cradle-to-grave emissions, material impacts, energy consumption, transport, use-phase, and end-of-life scenarios.</dc:description>
  <dc:language>en</dc:language>
  <cp:keywords/>
  <dcterms:created xsi:type="dcterms:W3CDTF">2026-07-15T10:27:54Z</dcterms:created>
  <dcterms:modified xsi:type="dcterms:W3CDTF">2026-07-15T10:27:54Z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