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syrzxsnwur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**syrzxsnwur**</w:t>
      </w:r>
    </w:p>
    <w:p>
      <w:pPr>
        <w:pStyle w:val="BodyText"/>
      </w:pPr>
      <w:r>
        <w:rPr>
          <w:bCs/>
          <w:b/>
        </w:rPr>
        <w:t xml:space="preserve">Company Name:</w:t>
      </w:r>
      <w:r>
        <w:t xml:space="preserve"> </w:t>
      </w:r>
      <w:r>
        <w:t xml:space="preserve">hhgufqgwyg</w:t>
      </w:r>
    </w:p>
    <w:p>
      <w:pPr>
        <w:pStyle w:val="BodyText"/>
      </w:pPr>
      <w:r>
        <w:rPr>
          <w:bCs/>
          <w:b/>
        </w:rPr>
        <w:t xml:space="preserve">Senior Sustainability Consultant:</w:t>
      </w:r>
      <w:r>
        <w:t xml:space="preserve"> </w:t>
      </w:r>
      <w:r>
        <w:t xml:space="preserve">djoldtodpf</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efforts have been made to ensure accuracy, the results are indicative and subject to the quality and completeness of the input data and chosen emission factors.</w:t>
      </w:r>
    </w:p>
    <w:bookmarkEnd w:id="20"/>
    <w:bookmarkStart w:id="21" w:name="Xa87d010c1fd868336511b306fbd202996615f12"/>
    <w:p>
      <w:pPr>
        <w:pStyle w:val="Heading1"/>
      </w:pPr>
      <w:r>
        <w:t xml:space="preserve">Product Carbon Footprint Analysis Report</w:t>
      </w:r>
    </w:p>
    <w:p>
      <w:pPr>
        <w:pStyle w:val="FirstParagraph"/>
      </w:pPr>
      <w:r>
        <w:t xml:space="preserve">Generated Date: June 1, 2026</w:t>
      </w:r>
    </w:p>
    <w:p>
      <w:pPr>
        <w:pStyle w:val="BodyText"/>
      </w:pPr>
      <w:r>
        <w:rPr>
          <w:bCs/>
          <w:b/>
        </w:rPr>
        <w:t xml:space="preserve">Prepared by:</w:t>
      </w:r>
      <w:r>
        <w:t xml:space="preserve"> </w:t>
      </w:r>
      <w:r>
        <w:t xml:space="preserve">djoldtodpf, Senior Sustainability Consultant</w:t>
      </w:r>
    </w:p>
    <w:p>
      <w:pPr>
        <w:pStyle w:val="BodyText"/>
      </w:pPr>
      <w:r>
        <w:rPr>
          <w:bCs/>
          <w:b/>
        </w:rPr>
        <w:t xml:space="preserve">For:</w:t>
      </w:r>
      <w:r>
        <w:t xml:space="preserve"> </w:t>
      </w:r>
      <w:r>
        <w:t xml:space="preserve">hhgufqgwyg</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**syrzxsnwur** manufactured by **hhgufqgwyg**. The analysis adheres to the GHG Protocol Product Life Cycle Accounting and Reporting Standard, covering emissions across the entire product lifecycle from raw material acquisition to end-of-life. The total carbon footprint for one functional unit of syrzxsnwur is calculated to be **51.54 kg CO2e**. Key emission hotspots include raw material acquisition and the product\'s use phase, highlighting opportunities for reduction through sustainable material sourcing and energy efficiency improvements during product operation.</w:t>
      </w:r>
    </w:p>
    <w:bookmarkEnd w:id="22"/>
    <w:p>
      <w:r>
        <w:pict>
          <v:rect style="width:0;height:1.5pt" o:hralign="center" o:hrstd="t" o:hr="t"/>
        </w:pict>
      </w:r>
    </w:p>
    <w:bookmarkStart w:id="29" w:name="methodology-and-scope-definition"/>
    <w:p>
      <w:pPr>
        <w:pStyle w:val="Heading2"/>
      </w:pPr>
      <w:r>
        <w:t xml:space="preserve">1. Methodology and Scope Definition</w:t>
      </w:r>
    </w:p>
    <w:p>
      <w:pPr>
        <w:pStyle w:val="FirstParagraph"/>
      </w:pPr>
      <w:r>
        <w:t xml:space="preserve">This Product Carbon Footprint (PCF) analysis follows the "cradle-to-grave" approach, encompassing all Greenhouse Gas (GHG) emissions and removals associated with the product **syrzxsnwur** throughout its lifecycle. The methodology is strictly aligned with the **GHG Protocol Product Life Cycle Accounting and Reporting Standard**.</w:t>
      </w:r>
    </w:p>
    <w:bookmarkStart w:id="23" w:name="functional-unit"/>
    <w:p>
      <w:pPr>
        <w:pStyle w:val="Heading3"/>
      </w:pPr>
      <w:r>
        <w:t xml:space="preserve">1.1. Functional Unit</w:t>
      </w:r>
    </w:p>
    <w:p>
      <w:pPr>
        <w:numPr>
          <w:ilvl w:val="0"/>
          <w:numId w:val="1001"/>
        </w:numPr>
        <w:pStyle w:val="Compact"/>
      </w:pPr>
      <w:r>
        <w:t xml:space="preserve">The functional unit for this study is defined as:</w:t>
      </w:r>
      <w:r>
        <w:t xml:space="preserve"> </w:t>
      </w:r>
      <w:r>
        <w:rPr>
          <w:bCs/>
          <w:b/>
        </w:rPr>
        <w:t xml:space="preserve">1.0 unit of syrzxsnwur</w:t>
      </w:r>
      <w:r>
        <w:t xml:space="preserve">.</w:t>
      </w:r>
    </w:p>
    <w:bookmarkEnd w:id="23"/>
    <w:bookmarkStart w:id="24" w:name="system-boundary"/>
    <w:p>
      <w:pPr>
        <w:pStyle w:val="Heading3"/>
      </w:pPr>
      <w:r>
        <w:t xml:space="preserve">1.2. System Boundary</w:t>
      </w:r>
    </w:p>
    <w:p>
      <w:pPr>
        <w:pStyle w:val="FirstParagraph"/>
      </w:pPr>
      <w:r>
        <w:t xml:space="preserve">The system boundary for this PCF is "cradle-to-grave", covering all stages from raw material extraction, through manufacturing, transportation, use, and end-of-life. While the initial parameter specified "factory_gate", the detailed requirements for use phase and end-of-life necessitated a full lifecycle assessment to capture all significant impacts. Emissions are categorized into Scope 1 (direct), Scope 2 (purchased energy), and Scope 3 (value chain) in line with the GHG Protocol framework for corporate reporting, applied to the product level.</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downstream distribution and use phase)</w:t>
      </w:r>
    </w:p>
    <w:bookmarkEnd w:id="25"/>
    <w:bookmarkStart w:id="26" w:name="accounting-standard"/>
    <w:p>
      <w:pPr>
        <w:pStyle w:val="Heading3"/>
      </w:pPr>
      <w:r>
        <w:t xml:space="preserve">1.4. Accounting Standard</w:t>
      </w:r>
    </w:p>
    <w:p>
      <w:pPr>
        <w:numPr>
          <w:ilvl w:val="0"/>
          <w:numId w:val="1003"/>
        </w:numPr>
        <w:pStyle w:val="Compact"/>
      </w:pPr>
      <w:r>
        <w:t xml:space="preserve">This analysis is conducted in accordance with the</w:t>
      </w:r>
      <w:r>
        <w:t xml:space="preserve"> </w:t>
      </w:r>
      <w:r>
        <w:rPr>
          <w:bCs/>
          <w:b/>
        </w:rPr>
        <w:t xml:space="preserve">GHG Protocol Product Life Cycle Accounting and Reporting Standard</w:t>
      </w:r>
      <w:r>
        <w:t xml:space="preserve">.</w:t>
      </w:r>
    </w:p>
    <w:bookmarkEnd w:id="26"/>
    <w:bookmarkStart w:id="27" w:name="allocation"/>
    <w:p>
      <w:pPr>
        <w:pStyle w:val="Heading3"/>
      </w:pPr>
      <w:r>
        <w:t xml:space="preserve">1.5. Allocation</w:t>
      </w:r>
    </w:p>
    <w:p>
      <w:pPr>
        <w:pStyle w:val="FirstParagraph"/>
      </w:pPr>
      <w:r>
        <w:t xml:space="preserve">Emissions are allocated directly to the functional unit based on material inputs, energy consumption, and transport activities. Where co-products or by-products occur (e.g., in raw material production), allocation is based on mass or economic value as per GHG Protocol guidance. For recycling, a system expansion approach is implicitly used to account for avoided virgin material production, resulting in potential credits for the end-of-life phase.</w:t>
      </w:r>
    </w:p>
    <w:bookmarkEnd w:id="27"/>
    <w:bookmarkStart w:id="28" w:name="X504f4a86e01fdcfa46a4589bb1b5e0cfaad8629"/>
    <w:p>
      <w:pPr>
        <w:pStyle w:val="Heading3"/>
      </w:pPr>
      <w:r>
        <w:t xml:space="preserve">1.6. 2026 Land Sector and Removals (LSR) Standard Update</w:t>
      </w:r>
    </w:p>
    <w:p>
      <w:pPr>
        <w:pStyle w:val="FirstParagraph"/>
      </w:pPr>
      <w:r>
        <w:t xml:space="preserve">The GHG Protocol\'s **Land Sector and Removals (LSR) Standard**, released on January 30, 2026, and taking effect on January 1, 2027, provides specific guidance for quantifying, reporting, and tracking land-related emissions, CO₂ removals, biogenic products, and technological CO₂ removals. While the primary components of **syrzxsnwur** (an electronic device) do not directly involve significant land use change or biogenic carbon flows, the LSR Standard is relevant for upstream activities such as:</w:t>
      </w:r>
    </w:p>
    <w:p>
      <w:pPr>
        <w:numPr>
          <w:ilvl w:val="0"/>
          <w:numId w:val="1004"/>
        </w:numPr>
        <w:pStyle w:val="Compact"/>
      </w:pPr>
      <w:r>
        <w:t xml:space="preserve">Raw material extraction, particularly for metals and minerals, where mining operations can lead to land-use change.</w:t>
      </w:r>
    </w:p>
    <w:p>
      <w:pPr>
        <w:numPr>
          <w:ilvl w:val="0"/>
          <w:numId w:val="1004"/>
        </w:numPr>
        <w:pStyle w:val="Compact"/>
      </w:pPr>
      <w:r>
        <w:t xml:space="preserve">Any potentially bio-based materials within the product or packaging, where emissions and removals from agriculture or forestry would be accounted for.</w:t>
      </w:r>
    </w:p>
    <w:p>
      <w:pPr>
        <w:pStyle w:val="FirstParagraph"/>
      </w:pPr>
      <w:r>
        <w:t xml:space="preserve">Future iterations of this PCF analysis will integrate the detailed requirements and forthcoming guidance of the LSR Standard as more specific data becomes available for the relevant upstream supply chain activities.</w:t>
      </w:r>
    </w:p>
    <w:bookmarkEnd w:id="28"/>
    <w:bookmarkEnd w:id="29"/>
    <w:p>
      <w:r>
        <w:pict>
          <v:rect style="width:0;height:1.5pt" o:hralign="center" o:hrstd="t" o:hr="t"/>
        </w:pict>
      </w:r>
    </w:p>
    <w:bookmarkStart w:id="36" w:name="X07cf0ea829f60a4f8fa47c00f72a11793fbe483"/>
    <w:p>
      <w:pPr>
        <w:pStyle w:val="Heading2"/>
      </w:pPr>
      <w:r>
        <w:t xml:space="preserve">2. Lifecycle Mapping (LCI Inventory Stages) &amp; 3. Data Collection</w:t>
      </w:r>
    </w:p>
    <w:p>
      <w:pPr>
        <w:pStyle w:val="FirstParagraph"/>
      </w:pPr>
      <w:r>
        <w:t xml:space="preserve">The product lifecycle of **syrzxsnwur** has been mapped into the following stages, with primary and secondary data points collected and assumed where specific parameters were placeholders.</w:t>
      </w:r>
    </w:p>
    <w:bookmarkStart w:id="31" w:name="X0a4d338b69ea875f6a6a73a549b9bcf775ce561"/>
    <w:p>
      <w:pPr>
        <w:pStyle w:val="Heading3"/>
      </w:pPr>
      <w:r>
        <w:t xml:space="preserve">2.1. Raw Material Acquisition and Pre-processing (Upstream Scope 3)</w:t>
      </w:r>
    </w:p>
    <w:p>
      <w:pPr>
        <w:pStyle w:val="FirstParagraph"/>
      </w:pPr>
      <w:r>
        <w:t xml:space="preserve">This stage covers the extraction of raw materials, their pre-processing, and the manufacturing of components as specified in the Bill of Materials (BOM).</w:t>
      </w:r>
    </w:p>
    <w:bookmarkStart w:id="30" w:name="Xe0925032396d719d62293294406ece790ae4522"/>
    <w:p>
      <w:pPr>
        <w:pStyle w:val="Heading4"/>
      </w:pPr>
      <w:r>
        <w:t xml:space="preserve">Detailed Bill of Materials (BOM): nddiknfn (Simulated Data)</w:t>
      </w:r>
    </w:p>
    <w:p>
      <w:pPr>
        <w:pStyle w:val="FirstParagraph"/>
      </w:pPr>
      <w:r>
        <w:t xml:space="preserve">The following Bill of Materials (BOM) data, designated as "nddiknfn", has been simulated for this report based on the specified format (ID, Description, Category, Process, Qty, Unit, Emission Factor, Total Carbon) and typical material compositions for a generic electronic device. Emission factors are based on industry-standard sources like Ecoinvent and DEFRA principles, representing average values for the respective materials and processes.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0.80</w:t>
            </w:r>
          </w:p>
        </w:tc>
        <w:tc>
          <w:tcPr/>
          <w:p>
            <w:pPr>
              <w:pStyle w:val="Compact"/>
              <w:jc w:val="left"/>
            </w:pPr>
            <w:r>
              <w:t xml:space="preserve">2.5</w:t>
            </w:r>
          </w:p>
        </w:tc>
        <w:tc>
          <w:tcPr/>
          <w:p>
            <w:pPr>
              <w:pStyle w:val="Compact"/>
              <w:jc w:val="left"/>
            </w:pPr>
            <w:r>
              <w:t xml:space="preserve">2.00</w:t>
            </w:r>
          </w:p>
        </w:tc>
      </w:tr>
      <w:tr>
        <w:tc>
          <w:tcPr/>
          <w:p>
            <w:pPr>
              <w:pStyle w:val="Compact"/>
              <w:jc w:val="left"/>
            </w:pPr>
            <w:r>
              <w:t xml:space="preserve">2</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4.0</w:t>
            </w:r>
          </w:p>
        </w:tc>
        <w:tc>
          <w:tcPr/>
          <w:p>
            <w:pPr>
              <w:pStyle w:val="Compact"/>
              <w:jc w:val="left"/>
            </w:pPr>
            <w:r>
              <w:t xml:space="preserve">0.80</w:t>
            </w:r>
          </w:p>
        </w:tc>
      </w:tr>
      <w:tr>
        <w:tc>
          <w:tcPr/>
          <w:p>
            <w:pPr>
              <w:pStyle w:val="Compact"/>
              <w:jc w:val="left"/>
            </w:pPr>
            <w:r>
              <w:t xml:space="preserve">3</w:t>
            </w:r>
          </w:p>
        </w:tc>
        <w:tc>
          <w:tcPr/>
          <w:p>
            <w:pPr>
              <w:pStyle w:val="Compact"/>
              <w:jc w:val="left"/>
            </w:pPr>
            <w:r>
              <w:t xml:space="preserve">Aluminum Heatsink</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0.30</w:t>
            </w:r>
          </w:p>
        </w:tc>
        <w:tc>
          <w:tcPr/>
          <w:p>
            <w:pPr>
              <w:pStyle w:val="Compact"/>
              <w:jc w:val="left"/>
            </w:pPr>
            <w:r>
              <w:t xml:space="preserve">10.0</w:t>
            </w:r>
          </w:p>
        </w:tc>
        <w:tc>
          <w:tcPr/>
          <w:p>
            <w:pPr>
              <w:pStyle w:val="Compact"/>
              <w:jc w:val="left"/>
            </w:pPr>
            <w:r>
              <w:t xml:space="preserve">3.00</w:t>
            </w:r>
          </w:p>
        </w:tc>
      </w:tr>
      <w:tr>
        <w:tc>
          <w:tcPr/>
          <w:p>
            <w:pPr>
              <w:pStyle w:val="Compact"/>
              <w:jc w:val="left"/>
            </w:pPr>
            <w:r>
              <w:t xml:space="preserve">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100.0</w:t>
            </w:r>
          </w:p>
        </w:tc>
        <w:tc>
          <w:tcPr/>
          <w:p>
            <w:pPr>
              <w:pStyle w:val="Compact"/>
              <w:jc w:val="left"/>
            </w:pPr>
            <w:r>
              <w:t xml:space="preserve">5.00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15.0</w:t>
            </w:r>
          </w:p>
        </w:tc>
        <w:tc>
          <w:tcPr/>
          <w:p>
            <w:pPr>
              <w:pStyle w:val="Compact"/>
              <w:jc w:val="left"/>
            </w:pPr>
            <w:r>
              <w:t xml:space="preserve">2.25</w:t>
            </w:r>
          </w:p>
        </w:tc>
      </w:tr>
      <w:tr>
        <w:tc>
          <w:tcPr/>
          <w:p>
            <w:pPr>
              <w:pStyle w:val="Compact"/>
              <w:jc w:val="left"/>
            </w:pPr>
            <w:r>
              <w:t xml:space="preserve">6</w:t>
            </w:r>
          </w:p>
        </w:tc>
        <w:tc>
          <w:tcPr/>
          <w:p>
            <w:pPr>
              <w:pStyle w:val="Compact"/>
              <w:jc w:val="left"/>
            </w:pPr>
            <w:r>
              <w:t xml:space="preserve">Steel Fasteners</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2.0</w:t>
            </w:r>
          </w:p>
        </w:tc>
        <w:tc>
          <w:tcPr/>
          <w:p>
            <w:pPr>
              <w:pStyle w:val="Compact"/>
              <w:jc w:val="left"/>
            </w:pPr>
            <w:r>
              <w:t xml:space="preserve">0.10</w:t>
            </w:r>
          </w:p>
        </w:tc>
      </w:tr>
      <w:tr>
        <w:tc>
          <w:tcPr/>
          <w:p>
            <w:pPr>
              <w:pStyle w:val="Compact"/>
              <w:jc w:val="left"/>
            </w:pPr>
            <w:r>
              <w:t xml:space="preserve">7</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Manufacturing</w:t>
            </w:r>
          </w:p>
        </w:tc>
        <w:tc>
          <w:tcPr/>
          <w:p>
            <w:pPr>
              <w:pStyle w:val="Compact"/>
              <w:jc w:val="left"/>
            </w:pPr>
            <w:r>
              <w:t xml:space="preserve">0.50</w:t>
            </w:r>
          </w:p>
        </w:tc>
        <w:tc>
          <w:tcPr/>
          <w:p>
            <w:pPr>
              <w:pStyle w:val="Compact"/>
              <w:jc w:val="left"/>
            </w:pPr>
            <w:r>
              <w:t xml:space="preserve">1.0</w:t>
            </w:r>
          </w:p>
        </w:tc>
        <w:tc>
          <w:tcPr/>
          <w:p>
            <w:pPr>
              <w:pStyle w:val="Compact"/>
              <w:jc w:val="left"/>
            </w:pPr>
            <w:r>
              <w:t xml:space="preserve">0.50</w:t>
            </w:r>
          </w:p>
        </w:tc>
      </w:tr>
      <w:tr>
        <w:tc>
          <w:tcPr/>
          <w:p>
            <w:pPr>
              <w:pStyle w:val="Compact"/>
              <w:jc w:val="left"/>
            </w:pPr>
            <w:r>
              <w:t xml:space="preserve">8</w:t>
            </w:r>
          </w:p>
        </w:tc>
        <w:tc>
          <w:tcPr/>
          <w:p>
            <w:pPr>
              <w:pStyle w:val="Compact"/>
              <w:jc w:val="left"/>
            </w:pPr>
            <w:r>
              <w:t xml:space="preserve">Adhesives</w:t>
            </w:r>
          </w:p>
        </w:tc>
        <w:tc>
          <w:tcPr/>
          <w:p>
            <w:pPr>
              <w:pStyle w:val="Compact"/>
              <w:jc w:val="left"/>
            </w:pPr>
            <w:r>
              <w:t xml:space="preserve">Chemical</w:t>
            </w:r>
          </w:p>
        </w:tc>
        <w:tc>
          <w:tcPr/>
          <w:p>
            <w:pPr>
              <w:pStyle w:val="Compact"/>
              <w:jc w:val="left"/>
            </w:pPr>
            <w:r>
              <w:t xml:space="preserve">Production</w:t>
            </w:r>
          </w:p>
        </w:tc>
        <w:tc>
          <w:tcPr/>
          <w:p>
            <w:pPr>
              <w:pStyle w:val="Compact"/>
              <w:jc w:val="left"/>
            </w:pPr>
            <w:r>
              <w:t xml:space="preserve">0.01</w:t>
            </w:r>
          </w:p>
        </w:tc>
        <w:tc>
          <w:tcPr/>
          <w:p>
            <w:pPr>
              <w:pStyle w:val="Compact"/>
              <w:jc w:val="left"/>
            </w:pPr>
            <w:r>
              <w:t xml:space="preserve">10.0</w:t>
            </w:r>
          </w:p>
        </w:tc>
        <w:tc>
          <w:tcPr/>
          <w:p>
            <w:pPr>
              <w:pStyle w:val="Compact"/>
              <w:jc w:val="left"/>
            </w:pPr>
            <w:r>
              <w:t xml:space="preserve">0.10</w:t>
            </w:r>
          </w:p>
        </w:tc>
      </w:tr>
      <w:tr>
        <w:tc>
          <w:tcPr/>
          <w:p>
            <w:pPr>
              <w:pStyle w:val="Compact"/>
              <w:jc w:val="left"/>
            </w:pPr>
            <w:r>
              <w:t xml:space="preserve">9</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0.005</w:t>
            </w:r>
          </w:p>
        </w:tc>
        <w:tc>
          <w:tcPr/>
          <w:p>
            <w:pPr>
              <w:pStyle w:val="Compact"/>
              <w:jc w:val="left"/>
            </w:pPr>
            <w:r>
              <w:t xml:space="preserve">1000.0</w:t>
            </w:r>
          </w:p>
        </w:tc>
        <w:tc>
          <w:tcPr/>
          <w:p>
            <w:pPr>
              <w:pStyle w:val="Compact"/>
              <w:jc w:val="left"/>
            </w:pPr>
            <w:r>
              <w:t xml:space="preserve">5.00</w:t>
            </w:r>
          </w:p>
        </w:tc>
      </w:tr>
      <w:tr>
        <w:tc>
          <w:tcPr/>
          <w:p>
            <w:pPr>
              <w:pStyle w:val="Compact"/>
              <w:jc w:val="left"/>
            </w:pPr>
            <w:r>
              <w:t xml:space="preserve">10</w:t>
            </w:r>
          </w:p>
        </w:tc>
        <w:tc>
          <w:tcPr/>
          <w:p>
            <w:pPr>
              <w:pStyle w:val="Compact"/>
              <w:jc w:val="left"/>
            </w:pPr>
            <w:r>
              <w:t xml:space="preserve">Glass Display</w:t>
            </w:r>
          </w:p>
        </w:tc>
        <w:tc>
          <w:tcPr/>
          <w:p>
            <w:pPr>
              <w:pStyle w:val="Compact"/>
              <w:jc w:val="left"/>
            </w:pPr>
            <w:r>
              <w:t xml:space="preserve">Glass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1.2</w:t>
            </w:r>
          </w:p>
        </w:tc>
        <w:tc>
          <w:tcPr/>
          <w:p>
            <w:pPr>
              <w:pStyle w:val="Compact"/>
              <w:jc w:val="left"/>
            </w:pPr>
            <w:r>
              <w:t xml:space="preserve">0.12</w:t>
            </w:r>
          </w:p>
        </w:tc>
      </w:tr>
      <w:tr>
        <w:tc>
          <w:tcPr>
            <w:gridSpan w:val="2"/>
          </w:tcPr>
          <w:p>
            <w:pPr>
              <w:pStyle w:val="Compact"/>
              <w:jc w:val="right"/>
            </w:pPr>
            <w:r>
              <w:t xml:space="preserve">Subtotal Raw Materials (Scope 3)</w:t>
            </w:r>
          </w:p>
        </w:tc>
        <w:tc>
          <w:tcPr/>
          <w:p>
            <w:pPr>
              <w:pStyle w:val="Compact"/>
              <w:jc w:val="left"/>
            </w:pPr>
            <w:r>
              <w:t xml:space="preserve">18.87</w:t>
            </w:r>
          </w:p>
        </w:tc>
        <w:tc>
          <w:tcPr/>
          <w:p>
            <w:pPr>
              <w:pStyle w:val="Compact"/>
            </w:pPr>
          </w:p>
        </w:tc>
        <w:tc>
          <w:tcPr/>
          <w:p>
            <w:pPr>
              <w:pStyle w:val="Compact"/>
            </w:pPr>
          </w:p>
        </w:tc>
        <w:tc>
          <w:tcPr/>
          <w:p>
            <w:pPr>
              <w:pStyle w:val="Compact"/>
            </w:pPr>
          </w:p>
        </w:tc>
        <w:tc>
          <w:tcPr/>
          <w:p>
            <w:pPr>
              <w:pStyle w:val="Compact"/>
            </w:pPr>
          </w:p>
        </w:tc>
      </w:tr>
    </w:tbl>
    <w:bookmarkEnd w:id="30"/>
    <w:bookmarkEnd w:id="31"/>
    <w:bookmarkStart w:id="32" w:name="manufacturing-phase-core-scope-1-2"/>
    <w:p>
      <w:pPr>
        <w:pStyle w:val="Heading3"/>
      </w:pPr>
      <w:r>
        <w:t xml:space="preserve">2.2. Manufacturing Phase (Core Scope 1 &amp; 2)</w:t>
      </w:r>
    </w:p>
    <w:p>
      <w:pPr>
        <w:pStyle w:val="FirstParagraph"/>
      </w:pPr>
      <w:r>
        <w:t xml:space="preserve">This stage accounts for the energy consumed during the assembly and final production of **syrzxsnwur** in China.</w:t>
      </w:r>
    </w:p>
    <w:p>
      <w:pPr>
        <w:numPr>
          <w:ilvl w:val="0"/>
          <w:numId w:val="1005"/>
        </w:numPr>
        <w:pStyle w:val="Compact"/>
      </w:pPr>
      <w:r>
        <w:rPr>
          <w:bCs/>
          <w:b/>
        </w:rPr>
        <w:t xml:space="preserve">Energy Intensity (kWh/unit):</w:t>
      </w:r>
      <w:r>
        <w:t xml:space="preserve"> </w:t>
      </w:r>
      <w:r>
        <w:t xml:space="preserve">mhsukvvwng = 50 kWh/unit</w:t>
      </w:r>
    </w:p>
    <w:p>
      <w:pPr>
        <w:numPr>
          <w:ilvl w:val="0"/>
          <w:numId w:val="1005"/>
        </w:numPr>
        <w:pStyle w:val="Compact"/>
      </w:pPr>
      <w:r>
        <w:rPr>
          <w:bCs/>
          <w:b/>
        </w:rPr>
        <w:t xml:space="preserve">Renewable Energy Usage:</w:t>
      </w:r>
      <w:r>
        <w:t xml:space="preserve"> </w:t>
      </w:r>
      <w:r>
        <w:t xml:space="preserve">oltqtmrxxl = 40% (of purchased electricity)</w:t>
      </w:r>
    </w:p>
    <w:p>
      <w:pPr>
        <w:numPr>
          <w:ilvl w:val="0"/>
          <w:numId w:val="1005"/>
        </w:numPr>
        <w:pStyle w:val="Compact"/>
      </w:pPr>
      <w:r>
        <w:rPr>
          <w:bCs/>
          <w:b/>
        </w:rPr>
        <w:t xml:space="preserve">Non-renewable Electricity:</w:t>
      </w:r>
      <w:r>
        <w:t xml:space="preserve"> </w:t>
      </w:r>
      <w:r>
        <w:t xml:space="preserve">30 kWh/unit (50 kWh * (1 - 0.40))</w:t>
      </w:r>
    </w:p>
    <w:p>
      <w:pPr>
        <w:numPr>
          <w:ilvl w:val="0"/>
          <w:numId w:val="1005"/>
        </w:numPr>
        <w:pStyle w:val="Compact"/>
      </w:pPr>
      <w:r>
        <w:rPr>
          <w:bCs/>
          <w:b/>
        </w:rPr>
        <w:t xml:space="preserve">Grid Emission Factor (China):</w:t>
      </w:r>
      <w:r>
        <w:t xml:space="preserve"> </w:t>
      </w:r>
      <w:r>
        <w:t xml:space="preserve">0.58 kg CO2e/kWh (Based on recent data for China\'s power grid, representing an average for 2021-2022).</w:t>
      </w:r>
    </w:p>
    <w:p>
      <w:pPr>
        <w:numPr>
          <w:ilvl w:val="0"/>
          <w:numId w:val="1005"/>
        </w:numPr>
        <w:pStyle w:val="Compact"/>
      </w:pPr>
      <w:r>
        <w:rPr>
          <w:bCs/>
          <w:b/>
        </w:rPr>
        <w:t xml:space="preserve">Renewable Electricity Emission Factor:</w:t>
      </w:r>
      <w:r>
        <w:t xml:space="preserve"> </w:t>
      </w:r>
      <w:r>
        <w:t xml:space="preserve">0 kg CO2e/kWh (assuming zero upstream emissions for simplicity in this calculation).</w:t>
      </w:r>
    </w:p>
    <w:bookmarkEnd w:id="32"/>
    <w:bookmarkStart w:id="33" w:name="X44845cce61434f008c39fe8055afbdd87e3b2c3"/>
    <w:p>
      <w:pPr>
        <w:pStyle w:val="Heading3"/>
      </w:pPr>
      <w:r>
        <w:t xml:space="preserve">2.3. Transportation &amp; Distribution (Upstream &amp; Downstream Scope 3)</w:t>
      </w:r>
    </w:p>
    <w:p>
      <w:pPr>
        <w:pStyle w:val="FirstParagraph"/>
      </w:pPr>
      <w:r>
        <w:t xml:space="preserve">Logistics data for material inbound to the factory and outbound finished products to the market are crucial for supply chain analysis.</w:t>
      </w:r>
    </w:p>
    <w:p>
      <w:pPr>
        <w:numPr>
          <w:ilvl w:val="0"/>
          <w:numId w:val="1006"/>
        </w:numPr>
        <w:pStyle w:val="Compact"/>
      </w:pPr>
      <w:r>
        <w:rPr>
          <w:bCs/>
          <w:b/>
        </w:rPr>
        <w:t xml:space="preserve">Upstream Transport (materials to factory):</w:t>
      </w:r>
    </w:p>
    <w:p>
      <w:pPr>
        <w:numPr>
          <w:ilvl w:val="1"/>
          <w:numId w:val="1007"/>
        </w:numPr>
        <w:pStyle w:val="Compact"/>
      </w:pPr>
      <w:r>
        <w:t xml:space="preserve">Assumed average material transport distance: 2,000 km (e.g., within China or regional suppliers).</w:t>
      </w:r>
    </w:p>
    <w:p>
      <w:pPr>
        <w:numPr>
          <w:ilvl w:val="1"/>
          <w:numId w:val="1007"/>
        </w:numPr>
        <w:pStyle w:val="Compact"/>
      </w:pPr>
      <w:r>
        <w:t xml:space="preserve">Transport Mode: Road Freight (heavy truck).</w:t>
      </w:r>
    </w:p>
    <w:p>
      <w:pPr>
        <w:numPr>
          <w:ilvl w:val="1"/>
          <w:numId w:val="1007"/>
        </w:numPr>
        <w:pStyle w:val="Compact"/>
      </w:pPr>
      <w:r>
        <w:t xml:space="preserve">Total product material mass (excluding packaging): 1.665 kg.</w:t>
      </w:r>
    </w:p>
    <w:p>
      <w:pPr>
        <w:numPr>
          <w:ilvl w:val="1"/>
          <w:numId w:val="1007"/>
        </w:numPr>
        <w:pStyle w:val="Compact"/>
      </w:pPr>
      <w:r>
        <w:t xml:space="preserve">Emission Factor (Road Freight, heavy truck): 0.08 kg CO2e/tonne-km (aligned with industry averages from sources like McKinnon, DEFRA).</w:t>
      </w:r>
    </w:p>
    <w:p>
      <w:pPr>
        <w:numPr>
          <w:ilvl w:val="0"/>
          <w:numId w:val="1006"/>
        </w:numPr>
        <w:pStyle w:val="Compact"/>
      </w:pPr>
      <w:r>
        <w:rPr>
          <w:bCs/>
          <w:b/>
        </w:rPr>
        <w:t xml:space="preserve">Finished Product Transport (Factory to Market):</w:t>
      </w:r>
    </w:p>
    <w:p>
      <w:pPr>
        <w:numPr>
          <w:ilvl w:val="1"/>
          <w:numId w:val="1008"/>
        </w:numPr>
        <w:pStyle w:val="Compact"/>
      </w:pPr>
      <w:r>
        <w:t xml:space="preserve">Transport Mode: Select Mode = Sea Freight (China to Europe).</w:t>
      </w:r>
    </w:p>
    <w:p>
      <w:pPr>
        <w:numPr>
          <w:ilvl w:val="1"/>
          <w:numId w:val="1008"/>
        </w:numPr>
        <w:pStyle w:val="Compact"/>
      </w:pPr>
      <w:r>
        <w:t xml:space="preserve">Transport Distance: vtmuoeegiq = 15,000 km.</w:t>
      </w:r>
    </w:p>
    <w:p>
      <w:pPr>
        <w:numPr>
          <w:ilvl w:val="1"/>
          <w:numId w:val="1008"/>
        </w:numPr>
        <w:pStyle w:val="Compact"/>
      </w:pPr>
      <w:r>
        <w:t xml:space="preserve">Product weight (with packaging): 2.165 kg.</w:t>
      </w:r>
    </w:p>
    <w:p>
      <w:pPr>
        <w:numPr>
          <w:ilvl w:val="1"/>
          <w:numId w:val="1008"/>
        </w:numPr>
        <w:pStyle w:val="Compact"/>
      </w:pPr>
      <w:r>
        <w:t xml:space="preserve">Emission Factor (Sea Freight, container ship): 0.016 kg CO2e/tonne-km (consistent with DEFRA/DESNZ 2025 and Climatiq data).</w:t>
      </w:r>
    </w:p>
    <w:p>
      <w:pPr>
        <w:numPr>
          <w:ilvl w:val="0"/>
          <w:numId w:val="1006"/>
        </w:numPr>
        <w:pStyle w:val="Compact"/>
      </w:pPr>
      <w:r>
        <w:rPr>
          <w:bCs/>
          <w:b/>
        </w:rPr>
        <w:t xml:space="preserve">Last-Mile Delivery:</w:t>
      </w:r>
    </w:p>
    <w:p>
      <w:pPr>
        <w:numPr>
          <w:ilvl w:val="1"/>
          <w:numId w:val="1009"/>
        </w:numPr>
        <w:pStyle w:val="Compact"/>
      </w:pPr>
      <w:r>
        <w:t xml:space="preserve">Last-Mile Delivery Channel: Delivery Type = Road Freight (light commercial vehicle).</w:t>
      </w:r>
    </w:p>
    <w:p>
      <w:pPr>
        <w:numPr>
          <w:ilvl w:val="1"/>
          <w:numId w:val="1009"/>
        </w:numPr>
        <w:pStyle w:val="Compact"/>
      </w:pPr>
      <w:r>
        <w:t xml:space="preserve">Assumed distance: 500 km (from distribution center to end-user).</w:t>
      </w:r>
    </w:p>
    <w:p>
      <w:pPr>
        <w:numPr>
          <w:ilvl w:val="1"/>
          <w:numId w:val="1009"/>
        </w:numPr>
        <w:pStyle w:val="Compact"/>
      </w:pPr>
      <w:r>
        <w:t xml:space="preserve">Product weight: 2.165 kg.</w:t>
      </w:r>
    </w:p>
    <w:p>
      <w:pPr>
        <w:numPr>
          <w:ilvl w:val="1"/>
          <w:numId w:val="1009"/>
        </w:numPr>
        <w:pStyle w:val="Compact"/>
      </w:pPr>
      <w:r>
        <w:t xml:space="preserve">Emission Factor (Road Freight, light commercial vehicle): 0.2 kg CO2e/tonne-km (higher than heavy trucks due to lower efficiency per tonne-km).</w:t>
      </w:r>
    </w:p>
    <w:bookmarkEnd w:id="33"/>
    <w:bookmarkStart w:id="34" w:name="use-phase-downstream-scope-3"/>
    <w:p>
      <w:pPr>
        <w:pStyle w:val="Heading3"/>
      </w:pPr>
      <w:r>
        <w:t xml:space="preserve">2.4. Use Phase (Downstream Scope 3)</w:t>
      </w:r>
    </w:p>
    <w:p>
      <w:pPr>
        <w:pStyle w:val="FirstParagraph"/>
      </w:pPr>
      <w:r>
        <w:t xml:space="preserve">This stage accounts for the energy consumed during the product\'s operational life by the end-user in Europe.</w:t>
      </w:r>
    </w:p>
    <w:p>
      <w:pPr>
        <w:numPr>
          <w:ilvl w:val="0"/>
          <w:numId w:val="1010"/>
        </w:numPr>
        <w:pStyle w:val="Compact"/>
      </w:pPr>
      <w:r>
        <w:rPr>
          <w:bCs/>
          <w:b/>
        </w:rPr>
        <w:t xml:space="preserve">Product Lifespan:</w:t>
      </w:r>
      <w:r>
        <w:t xml:space="preserve"> </w:t>
      </w:r>
      <w:r>
        <w:t xml:space="preserve">rkpkhrtzei = 5 years.</w:t>
      </w:r>
    </w:p>
    <w:p>
      <w:pPr>
        <w:numPr>
          <w:ilvl w:val="0"/>
          <w:numId w:val="1010"/>
        </w:numPr>
        <w:pStyle w:val="Compact"/>
      </w:pPr>
      <w:r>
        <w:rPr>
          <w:bCs/>
          <w:b/>
        </w:rPr>
        <w:t xml:space="preserve">Energy Consumption in Use:</w:t>
      </w:r>
      <w:r>
        <w:t xml:space="preserve"> </w:t>
      </w:r>
      <w:r>
        <w:t xml:space="preserve">htighjeuyp = 10 kWh/year.</w:t>
      </w:r>
    </w:p>
    <w:p>
      <w:pPr>
        <w:numPr>
          <w:ilvl w:val="0"/>
          <w:numId w:val="1010"/>
        </w:numPr>
        <w:pStyle w:val="Compact"/>
      </w:pPr>
      <w:r>
        <w:rPr>
          <w:bCs/>
          <w:b/>
        </w:rPr>
        <w:t xml:space="preserve">Total Energy Consumption:</w:t>
      </w:r>
      <w:r>
        <w:t xml:space="preserve"> </w:t>
      </w:r>
      <w:r>
        <w:t xml:space="preserve">50 kWh (10 kWh/year * 5 years).</w:t>
      </w:r>
    </w:p>
    <w:p>
      <w:pPr>
        <w:numPr>
          <w:ilvl w:val="0"/>
          <w:numId w:val="1010"/>
        </w:numPr>
        <w:pStyle w:val="Compact"/>
      </w:pPr>
      <w:r>
        <w:rPr>
          <w:bCs/>
          <w:b/>
        </w:rPr>
        <w:t xml:space="preserve">Grid Emission Factor (Europe):</w:t>
      </w:r>
      <w:r>
        <w:t xml:space="preserve"> </w:t>
      </w:r>
      <w:r>
        <w:t xml:space="preserve">0.3 kg CO2e/kWh (representing an average European grid mix).</w:t>
      </w:r>
    </w:p>
    <w:bookmarkEnd w:id="34"/>
    <w:bookmarkStart w:id="35" w:name="end-of-life-eol-phase-downstream-scope-3"/>
    <w:p>
      <w:pPr>
        <w:pStyle w:val="Heading3"/>
      </w:pPr>
      <w:r>
        <w:t xml:space="preserve">2.5. End-of-Life (EoL) Phase (Downstream Scope 3)</w:t>
      </w:r>
    </w:p>
    <w:p>
      <w:pPr>
        <w:pStyle w:val="FirstParagraph"/>
      </w:pPr>
      <w:r>
        <w:t xml:space="preserve">This stage addresses the disposal and potential recycling of **syrzxsnwur** at the end of its functional life.</w:t>
      </w:r>
    </w:p>
    <w:p>
      <w:pPr>
        <w:numPr>
          <w:ilvl w:val="0"/>
          <w:numId w:val="1011"/>
        </w:numPr>
        <w:pStyle w:val="Compact"/>
      </w:pPr>
      <w:r>
        <w:rPr>
          <w:bCs/>
          <w:b/>
        </w:rPr>
        <w:t xml:space="preserve">Recyclability Percentage:</w:t>
      </w:r>
      <w:r>
        <w:t xml:space="preserve"> </w:t>
      </w:r>
      <w:r>
        <w:t xml:space="preserve">xrhyopspfg = 70%.</w:t>
      </w:r>
    </w:p>
    <w:p>
      <w:pPr>
        <w:numPr>
          <w:ilvl w:val="0"/>
          <w:numId w:val="1011"/>
        </w:numPr>
        <w:pStyle w:val="Compact"/>
      </w:pPr>
      <w:r>
        <w:rPr>
          <w:bCs/>
          <w:b/>
        </w:rPr>
        <w:t xml:space="preserve">Circular/Take-back Programs:</w:t>
      </w:r>
      <w:r>
        <w:t xml:space="preserve"> </w:t>
      </w:r>
      <w:r>
        <w:t xml:space="preserve">nwrjwnklfh = Formal take-back program exists.</w:t>
      </w:r>
    </w:p>
    <w:p>
      <w:pPr>
        <w:numPr>
          <w:ilvl w:val="0"/>
          <w:numId w:val="1011"/>
        </w:numPr>
        <w:pStyle w:val="Compact"/>
      </w:pPr>
      <w:r>
        <w:rPr>
          <w:bCs/>
          <w:b/>
        </w:rPr>
        <w:t xml:space="preserve">Product weight at EoL:</w:t>
      </w:r>
      <w:r>
        <w:t xml:space="preserve"> </w:t>
      </w:r>
      <w:r>
        <w:t xml:space="preserve">2.165 kg.</w:t>
      </w:r>
    </w:p>
    <w:p>
      <w:pPr>
        <w:numPr>
          <w:ilvl w:val="0"/>
          <w:numId w:val="1011"/>
        </w:numPr>
        <w:pStyle w:val="Compact"/>
      </w:pPr>
      <w:r>
        <w:rPr>
          <w:bCs/>
          <w:b/>
        </w:rPr>
        <w:t xml:space="preserve">Weight to Landfill:</w:t>
      </w:r>
      <w:r>
        <w:t xml:space="preserve"> </w:t>
      </w:r>
      <w:r>
        <w:t xml:space="preserve">0.6495 kg (2.165 kg * (1 - 0.70)).</w:t>
      </w:r>
    </w:p>
    <w:p>
      <w:pPr>
        <w:numPr>
          <w:ilvl w:val="0"/>
          <w:numId w:val="1011"/>
        </w:numPr>
        <w:pStyle w:val="Compact"/>
      </w:pPr>
      <w:r>
        <w:rPr>
          <w:bCs/>
          <w:b/>
        </w:rPr>
        <w:t xml:space="preserve">Landfill Emission Factor:</w:t>
      </w:r>
      <w:r>
        <w:t xml:space="preserve"> </w:t>
      </w:r>
      <w:r>
        <w:t xml:space="preserve">0.5 kg CO2e/kg (an average for mixed waste to landfill).</w:t>
      </w:r>
    </w:p>
    <w:p>
      <w:pPr>
        <w:numPr>
          <w:ilvl w:val="0"/>
          <w:numId w:val="1011"/>
        </w:numPr>
        <w:pStyle w:val="Compact"/>
      </w:pPr>
      <w:r>
        <w:rPr>
          <w:bCs/>
          <w:b/>
        </w:rPr>
        <w:t xml:space="preserve">Weight Recycled:</w:t>
      </w:r>
      <w:r>
        <w:t xml:space="preserve"> </w:t>
      </w:r>
      <w:r>
        <w:t xml:space="preserve">1.5155 kg (2.165 kg * 0.70).</w:t>
      </w:r>
    </w:p>
    <w:p>
      <w:pPr>
        <w:numPr>
          <w:ilvl w:val="0"/>
          <w:numId w:val="1011"/>
        </w:numPr>
        <w:pStyle w:val="Compact"/>
      </w:pPr>
      <w:r>
        <w:rPr>
          <w:bCs/>
          <w:b/>
        </w:rPr>
        <w:t xml:space="preserve">Recycling Credit:</w:t>
      </w:r>
      <w:r>
        <w:t xml:space="preserve"> </w:t>
      </w:r>
      <w:r>
        <w:t xml:space="preserve">-0.7 kg CO2e/kg (representing avoided virgin material emissions due to recycling, reflecting circular economy benefits).</w:t>
      </w:r>
    </w:p>
    <w:bookmarkEnd w:id="35"/>
    <w:bookmarkEnd w:id="36"/>
    <w:p>
      <w:r>
        <w:pict>
          <v:rect style="width:0;height:1.5pt" o:hralign="center" o:hrstd="t" o:hr="t"/>
        </w:pict>
      </w:r>
    </w:p>
    <w:bookmarkStart w:id="47" w:name="emissions-calculation"/>
    <w:p>
      <w:pPr>
        <w:pStyle w:val="Heading2"/>
      </w:pPr>
      <w:r>
        <w:t xml:space="preserve">4. Emissions Calculation</w:t>
      </w:r>
    </w:p>
    <w:p>
      <w:pPr>
        <w:pStyle w:val="FirstParagraph"/>
      </w:pPr>
      <w:r>
        <w:t xml:space="preserve">Emissions are calculated using the formula: Activity Data × Emission Factor = CO2e. All emissions are reported in CO2 equivalent (CO2e).</w:t>
      </w:r>
    </w:p>
    <w:bookmarkStart w:id="37" w:name="scope-1-emissions-direct-emissions"/>
    <w:p>
      <w:pPr>
        <w:pStyle w:val="Heading3"/>
      </w:pPr>
      <w:r>
        <w:t xml:space="preserve">4.1. Scope 1 Emissions (Direct Emissions)</w:t>
      </w:r>
    </w:p>
    <w:p>
      <w:pPr>
        <w:pStyle w:val="FirstParagraph"/>
      </w:pPr>
      <w:r>
        <w:t xml:space="preserve">Based on the available parameters, there are no direct, owned, or controlled GHG emissions (e.g., from on-site fuel combustion) associated with the product manufacturing within the defined system boundary. Therefore, Scope 1 emissions for this PCF are **0.00 kg CO2e**.</w:t>
      </w:r>
    </w:p>
    <w:bookmarkEnd w:id="37"/>
    <w:bookmarkStart w:id="38" w:name="scope-2-emissions-purchased-energy"/>
    <w:p>
      <w:pPr>
        <w:pStyle w:val="Heading3"/>
      </w:pPr>
      <w:r>
        <w:t xml:space="preserve">4.2. Scope 2 Emissions (Purchased Energy)</w:t>
      </w:r>
    </w:p>
    <w:p>
      <w:pPr>
        <w:pStyle w:val="FirstParagraph"/>
      </w:pPr>
      <w:r>
        <w:t xml:space="preserve">These are indirect emissions from the generation of purchased electricity for the manufacturing process in China.</w:t>
      </w:r>
    </w:p>
    <w:p>
      <w:pPr>
        <w:numPr>
          <w:ilvl w:val="0"/>
          <w:numId w:val="1012"/>
        </w:numPr>
        <w:pStyle w:val="Compact"/>
      </w:pPr>
      <w:r>
        <w:t xml:space="preserve">Non-renewable electricity consumed: 30 kWh/unit</w:t>
      </w:r>
    </w:p>
    <w:p>
      <w:pPr>
        <w:numPr>
          <w:ilvl w:val="0"/>
          <w:numId w:val="1012"/>
        </w:numPr>
        <w:pStyle w:val="Compact"/>
      </w:pPr>
      <w:r>
        <w:t xml:space="preserve">China grid emission factor: 0.58 kg CO2e/kWh</w:t>
      </w:r>
    </w:p>
    <w:p>
      <w:pPr>
        <w:numPr>
          <w:ilvl w:val="0"/>
          <w:numId w:val="1012"/>
        </w:numPr>
        <w:pStyle w:val="Compact"/>
      </w:pPr>
      <w:r>
        <w:rPr>
          <w:bCs/>
          <w:b/>
        </w:rPr>
        <w:t xml:space="preserve">Scope 2 Emissions:</w:t>
      </w:r>
      <w:r>
        <w:t xml:space="preserve"> </w:t>
      </w:r>
      <w:r>
        <w:t xml:space="preserve">30 kWh/unit * 0.58 kg CO2e/kWh =</w:t>
      </w:r>
      <w:r>
        <w:t xml:space="preserve"> </w:t>
      </w:r>
      <w:r>
        <w:rPr>
          <w:bCs/>
          <w:b/>
        </w:rPr>
        <w:t xml:space="preserve">17.40 kg CO2e</w:t>
      </w:r>
    </w:p>
    <w:bookmarkEnd w:id="38"/>
    <w:bookmarkStart w:id="45" w:name="scope-3-emissions-value-chain-emissions"/>
    <w:p>
      <w:pPr>
        <w:pStyle w:val="Heading3"/>
      </w:pPr>
      <w:r>
        <w:t xml:space="preserve">4.3. Scope 3 Emissions (Value Chain Emissions)</w:t>
      </w:r>
    </w:p>
    <w:p>
      <w:pPr>
        <w:pStyle w:val="FirstParagraph"/>
      </w:pPr>
      <w:r>
        <w:t xml:space="preserve">Scope 3 emissions encompass all other indirect emissions from upstream and downstream activities in the product\'s value chain. As per 2026 requirements, this report aims for at least 95% coverage for Scope 3 reporting, which is achieved by including all major lifecycle stages.</w:t>
      </w:r>
    </w:p>
    <w:bookmarkStart w:id="39" w:name="X7ba2fac9959ba158f64b194b76b5599d6a0279a"/>
    <w:p>
      <w:pPr>
        <w:pStyle w:val="Heading4"/>
      </w:pPr>
      <w:r>
        <w:t xml:space="preserve">4.3.1. Raw Material Acquisition and Pre-processing (Upstream)</w:t>
      </w:r>
    </w:p>
    <w:p>
      <w:pPr>
        <w:numPr>
          <w:ilvl w:val="0"/>
          <w:numId w:val="1013"/>
        </w:numPr>
        <w:pStyle w:val="Compact"/>
      </w:pPr>
      <w:r>
        <w:t xml:space="preserve">Sum of Total Carbon from BOM:</w:t>
      </w:r>
      <w:r>
        <w:t xml:space="preserve"> </w:t>
      </w:r>
      <w:r>
        <w:rPr>
          <w:bCs/>
          <w:b/>
        </w:rPr>
        <w:t xml:space="preserve">18.87 kg CO2e</w:t>
      </w:r>
    </w:p>
    <w:bookmarkEnd w:id="39"/>
    <w:bookmarkStart w:id="40" w:name="X86c0f34a75b294f5538715cb6d8081b06081652"/>
    <w:p>
      <w:pPr>
        <w:pStyle w:val="Heading4"/>
      </w:pPr>
      <w:r>
        <w:t xml:space="preserve">4.3.2. Upstream Transportation (Materials to Factory)</w:t>
      </w:r>
    </w:p>
    <w:p>
      <w:pPr>
        <w:numPr>
          <w:ilvl w:val="0"/>
          <w:numId w:val="1014"/>
        </w:numPr>
        <w:pStyle w:val="Compact"/>
      </w:pPr>
      <w:r>
        <w:t xml:space="preserve">Product material mass: 1.7 kg</w:t>
      </w:r>
    </w:p>
    <w:p>
      <w:pPr>
        <w:numPr>
          <w:ilvl w:val="0"/>
          <w:numId w:val="1014"/>
        </w:numPr>
        <w:pStyle w:val="Compact"/>
      </w:pPr>
      <w:r>
        <w:t xml:space="preserve">Distance: 2,000 km</w:t>
      </w:r>
    </w:p>
    <w:p>
      <w:pPr>
        <w:numPr>
          <w:ilvl w:val="0"/>
          <w:numId w:val="1014"/>
        </w:numPr>
        <w:pStyle w:val="Compact"/>
      </w:pPr>
      <w:r>
        <w:t xml:space="preserve">Emission factor: 0.08 kg CO2e/tonne-km</w:t>
      </w:r>
    </w:p>
    <w:p>
      <w:pPr>
        <w:numPr>
          <w:ilvl w:val="0"/>
          <w:numId w:val="1014"/>
        </w:numPr>
        <w:pStyle w:val="Compact"/>
      </w:pPr>
      <w:r>
        <w:rPr>
          <w:bCs/>
          <w:b/>
        </w:rPr>
        <w:t xml:space="preserve">Emissions:</w:t>
      </w:r>
      <w:r>
        <w:t xml:space="preserve"> </w:t>
      </w:r>
      <w:r>
        <w:t xml:space="preserve">(1.7 kg / 1000) * 2000 km * 0.08 kg CO2e/tonne-km =</w:t>
      </w:r>
      <w:r>
        <w:t xml:space="preserve"> </w:t>
      </w:r>
      <w:r>
        <w:rPr>
          <w:bCs/>
          <w:b/>
        </w:rPr>
        <w:t xml:space="preserve">0.27 kg CO2e</w:t>
      </w:r>
    </w:p>
    <w:bookmarkEnd w:id="40"/>
    <w:bookmarkStart w:id="41" w:name="Xc11883d272329361f030ec5e43bd9ad1dde3a4c"/>
    <w:p>
      <w:pPr>
        <w:pStyle w:val="Heading4"/>
      </w:pPr>
      <w:r>
        <w:t xml:space="preserve">4.3.3. Finished Product Transportation (Factory to Market)</w:t>
      </w:r>
    </w:p>
    <w:p>
      <w:pPr>
        <w:numPr>
          <w:ilvl w:val="0"/>
          <w:numId w:val="1015"/>
        </w:numPr>
        <w:pStyle w:val="Compact"/>
      </w:pPr>
      <w:r>
        <w:t xml:space="preserve">Product weight (with packaging): 2.165 kg</w:t>
      </w:r>
    </w:p>
    <w:p>
      <w:pPr>
        <w:numPr>
          <w:ilvl w:val="0"/>
          <w:numId w:val="1015"/>
        </w:numPr>
        <w:pStyle w:val="Compact"/>
      </w:pPr>
      <w:r>
        <w:t xml:space="preserve">Distance: 15,000 km (sea freight)</w:t>
      </w:r>
    </w:p>
    <w:p>
      <w:pPr>
        <w:numPr>
          <w:ilvl w:val="0"/>
          <w:numId w:val="1015"/>
        </w:numPr>
        <w:pStyle w:val="Compact"/>
      </w:pPr>
      <w:r>
        <w:t xml:space="preserve">Emission factor: 0.016 kg CO2e/tonne-km</w:t>
      </w:r>
    </w:p>
    <w:p>
      <w:pPr>
        <w:numPr>
          <w:ilvl w:val="0"/>
          <w:numId w:val="1015"/>
        </w:numPr>
        <w:pStyle w:val="Compact"/>
      </w:pPr>
      <w:r>
        <w:rPr>
          <w:bCs/>
          <w:b/>
        </w:rPr>
        <w:t xml:space="preserve">Emissions:</w:t>
      </w:r>
      <w:r>
        <w:t xml:space="preserve"> </w:t>
      </w:r>
      <w:r>
        <w:t xml:space="preserve">(2.165 kg / 1000) * 15000 km * 0.016 kg CO2e/tonne-km =</w:t>
      </w:r>
      <w:r>
        <w:t xml:space="preserve"> </w:t>
      </w:r>
      <w:r>
        <w:rPr>
          <w:bCs/>
          <w:b/>
        </w:rPr>
        <w:t xml:space="preserve">0.52 kg CO2e</w:t>
      </w:r>
    </w:p>
    <w:bookmarkEnd w:id="41"/>
    <w:bookmarkStart w:id="42" w:name="last-mile-delivery"/>
    <w:p>
      <w:pPr>
        <w:pStyle w:val="Heading4"/>
      </w:pPr>
      <w:r>
        <w:t xml:space="preserve">4.3.4. Last-Mile Delivery</w:t>
      </w:r>
    </w:p>
    <w:p>
      <w:pPr>
        <w:numPr>
          <w:ilvl w:val="0"/>
          <w:numId w:val="1016"/>
        </w:numPr>
        <w:pStyle w:val="Compact"/>
      </w:pPr>
      <w:r>
        <w:t xml:space="preserve">Product weight (with packaging): 2.165 kg</w:t>
      </w:r>
    </w:p>
    <w:p>
      <w:pPr>
        <w:numPr>
          <w:ilvl w:val="0"/>
          <w:numId w:val="1016"/>
        </w:numPr>
        <w:pStyle w:val="Compact"/>
      </w:pPr>
      <w:r>
        <w:t xml:space="preserve">Distance: 500 km (road freight, light commercial)</w:t>
      </w:r>
    </w:p>
    <w:p>
      <w:pPr>
        <w:numPr>
          <w:ilvl w:val="0"/>
          <w:numId w:val="1016"/>
        </w:numPr>
        <w:pStyle w:val="Compact"/>
      </w:pPr>
      <w:r>
        <w:t xml:space="preserve">Emission factor: 0.2 kg CO2e/tonne-km</w:t>
      </w:r>
    </w:p>
    <w:p>
      <w:pPr>
        <w:numPr>
          <w:ilvl w:val="0"/>
          <w:numId w:val="1016"/>
        </w:numPr>
        <w:pStyle w:val="Compact"/>
      </w:pPr>
      <w:r>
        <w:rPr>
          <w:bCs/>
          <w:b/>
        </w:rPr>
        <w:t xml:space="preserve">Emissions:</w:t>
      </w:r>
      <w:r>
        <w:t xml:space="preserve"> </w:t>
      </w:r>
      <w:r>
        <w:t xml:space="preserve">(2.165 kg / 1000) * 500 km * 0.2 kg CO2e/tonne-km =</w:t>
      </w:r>
      <w:r>
        <w:t xml:space="preserve"> </w:t>
      </w:r>
      <w:r>
        <w:rPr>
          <w:bCs/>
          <w:b/>
        </w:rPr>
        <w:t xml:space="preserve">0.22 kg CO2e</w:t>
      </w:r>
    </w:p>
    <w:bookmarkEnd w:id="42"/>
    <w:bookmarkStart w:id="43" w:name="use-phase"/>
    <w:p>
      <w:pPr>
        <w:pStyle w:val="Heading4"/>
      </w:pPr>
      <w:r>
        <w:t xml:space="preserve">4.3.5. Use Phase</w:t>
      </w:r>
    </w:p>
    <w:p>
      <w:pPr>
        <w:numPr>
          <w:ilvl w:val="0"/>
          <w:numId w:val="1017"/>
        </w:numPr>
        <w:pStyle w:val="Compact"/>
      </w:pPr>
      <w:r>
        <w:t xml:space="preserve">Total energy in use: 50 kWh</w:t>
      </w:r>
    </w:p>
    <w:p>
      <w:pPr>
        <w:numPr>
          <w:ilvl w:val="0"/>
          <w:numId w:val="1017"/>
        </w:numPr>
        <w:pStyle w:val="Compact"/>
      </w:pPr>
      <w:r>
        <w:t xml:space="preserve">European grid emission factor: 0.3 kg CO2e/kWh</w:t>
      </w:r>
    </w:p>
    <w:p>
      <w:pPr>
        <w:numPr>
          <w:ilvl w:val="0"/>
          <w:numId w:val="1017"/>
        </w:numPr>
        <w:pStyle w:val="Compact"/>
      </w:pPr>
      <w:r>
        <w:rPr>
          <w:bCs/>
          <w:b/>
        </w:rPr>
        <w:t xml:space="preserve">Emissions:</w:t>
      </w:r>
      <w:r>
        <w:t xml:space="preserve"> </w:t>
      </w:r>
      <w:r>
        <w:t xml:space="preserve">50 kWh * 0.3 kg CO2e/kWh =</w:t>
      </w:r>
      <w:r>
        <w:t xml:space="preserve"> </w:t>
      </w:r>
      <w:r>
        <w:rPr>
          <w:bCs/>
          <w:b/>
        </w:rPr>
        <w:t xml:space="preserve">15.00 kg CO2e</w:t>
      </w:r>
    </w:p>
    <w:bookmarkEnd w:id="43"/>
    <w:bookmarkStart w:id="44" w:name="end-of-life-eol"/>
    <w:p>
      <w:pPr>
        <w:pStyle w:val="Heading4"/>
      </w:pPr>
      <w:r>
        <w:t xml:space="preserve">4.3.6. End-of-Life (EoL)</w:t>
      </w:r>
    </w:p>
    <w:p>
      <w:pPr>
        <w:numPr>
          <w:ilvl w:val="0"/>
          <w:numId w:val="1018"/>
        </w:numPr>
        <w:pStyle w:val="Compact"/>
      </w:pPr>
      <w:r>
        <w:t xml:space="preserve">Weight to Landfill: 0.6495 kg</w:t>
      </w:r>
    </w:p>
    <w:p>
      <w:pPr>
        <w:numPr>
          <w:ilvl w:val="0"/>
          <w:numId w:val="1018"/>
        </w:numPr>
        <w:pStyle w:val="Compact"/>
      </w:pPr>
      <w:r>
        <w:t xml:space="preserve">Landfill emission factor: 0.5 kg CO2e/kg</w:t>
      </w:r>
    </w:p>
    <w:p>
      <w:pPr>
        <w:numPr>
          <w:ilvl w:val="0"/>
          <w:numId w:val="1018"/>
        </w:numPr>
        <w:pStyle w:val="Compact"/>
      </w:pPr>
      <w:r>
        <w:t xml:space="preserve">Emissions from landfill: 0.6495 kg * 0.5 kg CO2e/kg = 0.32 kg CO2e</w:t>
      </w:r>
    </w:p>
    <w:p>
      <w:pPr>
        <w:numPr>
          <w:ilvl w:val="0"/>
          <w:numId w:val="1018"/>
        </w:numPr>
        <w:pStyle w:val="Compact"/>
      </w:pPr>
      <w:r>
        <w:t xml:space="preserve">Weight Recycled: 1.5155 kg</w:t>
      </w:r>
    </w:p>
    <w:p>
      <w:pPr>
        <w:numPr>
          <w:ilvl w:val="0"/>
          <w:numId w:val="1018"/>
        </w:numPr>
        <w:pStyle w:val="Compact"/>
      </w:pPr>
      <w:r>
        <w:t xml:space="preserve">Recycling credit: -0.7 kg CO2e/kg (avoided virgin material)</w:t>
      </w:r>
    </w:p>
    <w:p>
      <w:pPr>
        <w:numPr>
          <w:ilvl w:val="0"/>
          <w:numId w:val="1018"/>
        </w:numPr>
        <w:pStyle w:val="Compact"/>
      </w:pPr>
      <w:r>
        <w:t xml:space="preserve">Avoided emissions: 1.5155 kg * -0.7 kg CO2e/kg = -1.06 kg CO2e</w:t>
      </w:r>
    </w:p>
    <w:p>
      <w:pPr>
        <w:numPr>
          <w:ilvl w:val="0"/>
          <w:numId w:val="1018"/>
        </w:numPr>
        <w:pStyle w:val="Compact"/>
      </w:pPr>
      <w:r>
        <w:rPr>
          <w:bCs/>
          <w:b/>
        </w:rPr>
        <w:t xml:space="preserve">Net EoL Emissions:</w:t>
      </w:r>
      <w:r>
        <w:t xml:space="preserve"> </w:t>
      </w:r>
      <w:r>
        <w:t xml:space="preserve">0.32 kg CO2e - 1.06 kg CO2e =</w:t>
      </w:r>
      <w:r>
        <w:t xml:space="preserve"> </w:t>
      </w:r>
      <w:r>
        <w:rPr>
          <w:bCs/>
          <w:b/>
        </w:rPr>
        <w:t xml:space="preserve">-0.74 kg CO2e</w:t>
      </w:r>
    </w:p>
    <w:bookmarkEnd w:id="44"/>
    <w:bookmarkEnd w:id="45"/>
    <w:bookmarkStart w:id="46" w:name="summary-of-emissions-by-scope-and-stage"/>
    <w:p>
      <w:pPr>
        <w:pStyle w:val="Heading3"/>
      </w:pPr>
      <w:r>
        <w:t xml:space="preserve">4.4. Summary of Emissions by Scope and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Emission Scope</w:t>
            </w:r>
          </w:p>
        </w:tc>
        <w:tc>
          <w:tcPr/>
          <w:p>
            <w:pPr>
              <w:pStyle w:val="Compact"/>
              <w:jc w:val="left"/>
            </w:pPr>
            <w:r>
              <w:t xml:space="preserve">Lifecycle Stage</w:t>
            </w:r>
          </w:p>
        </w:tc>
        <w:tc>
          <w:tcPr/>
          <w:p>
            <w:pPr>
              <w:pStyle w:val="Compact"/>
              <w:jc w:val="left"/>
            </w:pPr>
            <w:r>
              <w:t xml:space="preserve">CO2e (kg)</w:t>
            </w:r>
          </w:p>
        </w:tc>
        <w:tc>
          <w:tcPr/>
          <w:p>
            <w:pPr>
              <w:pStyle w:val="Compact"/>
              <w:jc w:val="left"/>
            </w:pPr>
            <w:r>
              <w:t xml:space="preserve">Notes</w:t>
            </w:r>
          </w:p>
        </w:tc>
      </w:tr>
      <w:tr>
        <w:tc>
          <w:tcPr/>
          <w:p>
            <w:pPr>
              <w:pStyle w:val="Compact"/>
              <w:jc w:val="left"/>
            </w:pPr>
            <w:r>
              <w:t xml:space="preserve">Scope 1</w:t>
            </w:r>
          </w:p>
        </w:tc>
        <w:tc>
          <w:tcPr/>
          <w:p>
            <w:pPr>
              <w:pStyle w:val="Compact"/>
              <w:jc w:val="left"/>
            </w:pPr>
            <w:r>
              <w:t xml:space="preserve">Direct Emissions (Production)</w:t>
            </w:r>
          </w:p>
        </w:tc>
        <w:tc>
          <w:tcPr/>
          <w:p>
            <w:pPr>
              <w:pStyle w:val="Compact"/>
              <w:jc w:val="left"/>
            </w:pPr>
            <w:r>
              <w:t xml:space="preserve">0.00</w:t>
            </w:r>
          </w:p>
        </w:tc>
        <w:tc>
          <w:tcPr/>
          <w:p>
            <w:pPr>
              <w:pStyle w:val="Compact"/>
              <w:jc w:val="left"/>
            </w:pPr>
            <w:r>
              <w:t xml:space="preserve">No direct fossil fuel combustion reported.</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17.40</w:t>
            </w:r>
          </w:p>
        </w:tc>
        <w:tc>
          <w:tcPr/>
          <w:p>
            <w:pPr>
              <w:pStyle w:val="Compact"/>
              <w:jc w:val="left"/>
            </w:pPr>
            <w:r>
              <w:t xml:space="preserve">Non-renewable portion of electricity from Chinese grid.</w:t>
            </w:r>
          </w:p>
        </w:tc>
      </w:tr>
      <w:tr>
        <w:tc>
          <w:tcPr>
            <w:vMerge w:val="restart"/>
          </w:tcPr>
          <w:p>
            <w:pPr>
              <w:pStyle w:val="Compact"/>
              <w:jc w:val="left"/>
            </w:pPr>
            <w:r>
              <w:t xml:space="preserve">Scope 3</w:t>
            </w:r>
          </w:p>
        </w:tc>
        <w:tc>
          <w:tcPr/>
          <w:p>
            <w:pPr>
              <w:pStyle w:val="Compact"/>
              <w:jc w:val="left"/>
            </w:pPr>
            <w:r>
              <w:t xml:space="preserve">Raw Material Acquisition &amp; Pre-processing</w:t>
            </w:r>
          </w:p>
        </w:tc>
        <w:tc>
          <w:tcPr/>
          <w:p>
            <w:pPr>
              <w:pStyle w:val="Compact"/>
              <w:jc w:val="left"/>
            </w:pPr>
            <w:r>
              <w:t xml:space="preserve">18.87</w:t>
            </w:r>
          </w:p>
        </w:tc>
        <w:tc>
          <w:tcPr/>
          <w:p>
            <w:pPr>
              <w:pStyle w:val="Compact"/>
              <w:jc w:val="left"/>
            </w:pPr>
            <w:r>
              <w:t xml:space="preserve">Based on simulated "nddiknfn" BOM.</w:t>
            </w:r>
          </w:p>
        </w:tc>
      </w:tr>
      <w:tr>
        <w:tc>
          <w:tcPr>
            <w:gridSpan w:val="1"/>
            <w:vMerge w:val="continue"/>
          </w:tcPr>
          <w:p>
            <w:pPr/>
          </w:p>
        </w:tc>
        <w:tc>
          <w:tcPr/>
          <w:p>
            <w:pPr>
              <w:pStyle w:val="Compact"/>
              <w:jc w:val="left"/>
            </w:pPr>
            <w:r>
              <w:t xml:space="preserve">Upstream Transportation (Materials)</w:t>
            </w:r>
          </w:p>
        </w:tc>
        <w:tc>
          <w:tcPr/>
          <w:p>
            <w:pPr>
              <w:pStyle w:val="Compact"/>
              <w:jc w:val="left"/>
            </w:pPr>
            <w:r>
              <w:t xml:space="preserve">0.27</w:t>
            </w:r>
          </w:p>
        </w:tc>
        <w:tc>
          <w:tcPr/>
          <w:p>
            <w:pPr>
              <w:pStyle w:val="Compact"/>
              <w:jc w:val="left"/>
            </w:pPr>
            <w:r>
              <w:t xml:space="preserve">Road freight for raw materials.</w:t>
            </w:r>
          </w:p>
        </w:tc>
      </w:tr>
      <w:tr>
        <w:tc>
          <w:tcPr>
            <w:gridSpan w:val="1"/>
            <w:vMerge w:val="continue"/>
          </w:tcPr>
          <w:p>
            <w:pPr/>
          </w:p>
        </w:tc>
        <w:tc>
          <w:tcPr/>
          <w:p>
            <w:pPr>
              <w:pStyle w:val="Compact"/>
              <w:jc w:val="left"/>
            </w:pPr>
            <w:r>
              <w:t xml:space="preserve">Main Transportation (Finished Product)</w:t>
            </w:r>
          </w:p>
        </w:tc>
        <w:tc>
          <w:tcPr/>
          <w:p>
            <w:pPr>
              <w:pStyle w:val="Compact"/>
              <w:jc w:val="left"/>
            </w:pPr>
            <w:r>
              <w:t xml:space="preserve">0.52</w:t>
            </w:r>
          </w:p>
        </w:tc>
        <w:tc>
          <w:tcPr/>
          <w:p>
            <w:pPr>
              <w:pStyle w:val="Compact"/>
              <w:jc w:val="left"/>
            </w:pPr>
            <w:r>
              <w:t xml:space="preserve">Sea freight from China to Europe.</w:t>
            </w:r>
          </w:p>
        </w:tc>
      </w:tr>
      <w:tr>
        <w:tc>
          <w:tcPr>
            <w:gridSpan w:val="1"/>
            <w:vMerge w:val="continue"/>
          </w:tcPr>
          <w:p>
            <w:pPr/>
          </w:p>
        </w:tc>
        <w:tc>
          <w:tcPr/>
          <w:p>
            <w:pPr>
              <w:pStyle w:val="Compact"/>
              <w:jc w:val="left"/>
            </w:pPr>
            <w:r>
              <w:t xml:space="preserve">Last-Mile Delivery</w:t>
            </w:r>
          </w:p>
        </w:tc>
        <w:tc>
          <w:tcPr/>
          <w:p>
            <w:pPr>
              <w:pStyle w:val="Compact"/>
              <w:jc w:val="left"/>
            </w:pPr>
            <w:r>
              <w:t xml:space="preserve">0.22</w:t>
            </w:r>
          </w:p>
        </w:tc>
        <w:tc>
          <w:tcPr/>
          <w:p>
            <w:pPr>
              <w:pStyle w:val="Compact"/>
              <w:jc w:val="left"/>
            </w:pPr>
            <w:r>
              <w:t xml:space="preserve">Road freight to end-user.</w:t>
            </w:r>
          </w:p>
        </w:tc>
      </w:tr>
      <w:tr>
        <w:tc>
          <w:tcPr>
            <w:gridSpan w:val="1"/>
            <w:vMerge w:val="continue"/>
          </w:tcPr>
          <w:p>
            <w:pPr/>
          </w:p>
        </w:tc>
        <w:tc>
          <w:tcPr/>
          <w:p>
            <w:pPr>
              <w:pStyle w:val="Compact"/>
              <w:jc w:val="left"/>
            </w:pPr>
            <w:r>
              <w:t xml:space="preserve">Use Phase (Product Operation)</w:t>
            </w:r>
          </w:p>
        </w:tc>
        <w:tc>
          <w:tcPr/>
          <w:p>
            <w:pPr>
              <w:pStyle w:val="Compact"/>
              <w:jc w:val="left"/>
            </w:pPr>
            <w:r>
              <w:t xml:space="preserve">15.00</w:t>
            </w:r>
          </w:p>
        </w:tc>
        <w:tc>
          <w:tcPr/>
          <w:p>
            <w:pPr>
              <w:pStyle w:val="Compact"/>
              <w:jc w:val="left"/>
            </w:pPr>
            <w:r>
              <w:t xml:space="preserve">Energy consumption over product lifespan in Europe.</w:t>
            </w:r>
          </w:p>
        </w:tc>
      </w:tr>
      <w:tr>
        <w:tc>
          <w:tcPr>
            <w:gridSpan w:val="1"/>
            <w:vMerge w:val="continue"/>
          </w:tcPr>
          <w:p>
            <w:pPr/>
          </w:p>
        </w:tc>
        <w:tc>
          <w:tcPr/>
          <w:p>
            <w:pPr>
              <w:pStyle w:val="Compact"/>
              <w:jc w:val="left"/>
            </w:pPr>
            <w:r>
              <w:t xml:space="preserve">End-of-Life (Disposal &amp; Recycling)</w:t>
            </w:r>
          </w:p>
        </w:tc>
        <w:tc>
          <w:tcPr/>
          <w:p>
            <w:pPr>
              <w:pStyle w:val="Compact"/>
              <w:jc w:val="left"/>
            </w:pPr>
            <w:r>
              <w:t xml:space="preserve">-0.74</w:t>
            </w:r>
          </w:p>
        </w:tc>
        <w:tc>
          <w:tcPr/>
          <w:p>
            <w:pPr>
              <w:pStyle w:val="Compact"/>
              <w:jc w:val="left"/>
            </w:pPr>
            <w:r>
              <w:t xml:space="preserve">Net credit due to significant recycling.</w:t>
            </w:r>
          </w:p>
        </w:tc>
      </w:tr>
      <w:tr>
        <w:tc>
          <w:tcPr>
            <w:gridSpan w:val="2"/>
          </w:tcPr>
          <w:p>
            <w:pPr>
              <w:pStyle w:val="Compact"/>
              <w:jc w:val="right"/>
            </w:pPr>
            <w:r>
              <w:t xml:space="preserve">Total Scope 3 Emissions</w:t>
            </w:r>
          </w:p>
        </w:tc>
        <w:tc>
          <w:tcPr/>
          <w:p>
            <w:pPr>
              <w:pStyle w:val="Compact"/>
              <w:jc w:val="left"/>
            </w:pPr>
            <w:r>
              <w:t xml:space="preserve">34.14</w:t>
            </w:r>
          </w:p>
        </w:tc>
        <w:tc>
          <w:tcPr/>
          <w:p>
            <w:pPr>
              <w:pStyle w:val="Compact"/>
            </w:pPr>
          </w:p>
        </w:tc>
      </w:tr>
      <w:tr>
        <w:tc>
          <w:tcPr>
            <w:gridSpan w:val="2"/>
          </w:tcPr>
          <w:p>
            <w:pPr>
              <w:pStyle w:val="Compact"/>
              <w:jc w:val="right"/>
            </w:pPr>
            <w:r>
              <w:t xml:space="preserve">GRAND TOTAL PRODUCT CARBON FOOTPRINT (PCF)</w:t>
            </w:r>
          </w:p>
        </w:tc>
        <w:tc>
          <w:tcPr/>
          <w:p>
            <w:pPr>
              <w:pStyle w:val="Compact"/>
              <w:jc w:val="left"/>
            </w:pPr>
            <w:r>
              <w:t xml:space="preserve">51.54</w:t>
            </w:r>
          </w:p>
        </w:tc>
        <w:tc>
          <w:tcPr/>
          <w:p>
            <w:pPr>
              <w:pStyle w:val="Compact"/>
              <w:jc w:val="left"/>
            </w:pPr>
            <w:r>
              <w:t xml:space="preserve">Per functional unit of syrzxsnwur.</w:t>
            </w:r>
          </w:p>
        </w:tc>
      </w:tr>
    </w:tbl>
    <w:bookmarkEnd w:id="46"/>
    <w:bookmarkEnd w:id="47"/>
    <w:p>
      <w:r>
        <w:pict>
          <v:rect style="width:0;height:1.5pt" o:hralign="center" o:hrstd="t" o:hr="t"/>
        </w:pict>
      </w:r>
    </w:p>
    <w:bookmarkStart w:id="50" w:name="review-reporting"/>
    <w:p>
      <w:pPr>
        <w:pStyle w:val="Heading2"/>
      </w:pPr>
      <w:r>
        <w:t xml:space="preserve">5. Review &amp; Reporting</w:t>
      </w:r>
    </w:p>
    <w:p>
      <w:pPr>
        <w:pStyle w:val="FirstParagraph"/>
      </w:pPr>
      <w:r>
        <w:t xml:space="preserve">The total Product Carbon Footprint for **syrzxsnwur** is **51.54 kg CO2e** per functional unit (1.0 unit).</w:t>
      </w:r>
    </w:p>
    <w:bookmarkStart w:id="48" w:name="emission-hotspots"/>
    <w:p>
      <w:pPr>
        <w:pStyle w:val="Heading3"/>
      </w:pPr>
      <w:r>
        <w:t xml:space="preserve">5.1. Emission Hotspots</w:t>
      </w:r>
    </w:p>
    <w:p>
      <w:pPr>
        <w:pStyle w:val="FirstParagraph"/>
      </w:pPr>
      <w:r>
        <w:t xml:space="preserve">The analysis reveals the following key emission hotspots:</w:t>
      </w:r>
    </w:p>
    <w:p>
      <w:pPr>
        <w:numPr>
          <w:ilvl w:val="0"/>
          <w:numId w:val="1019"/>
        </w:numPr>
        <w:pStyle w:val="Compact"/>
      </w:pPr>
      <w:r>
        <w:rPr>
          <w:bCs/>
          <w:b/>
        </w:rPr>
        <w:t xml:space="preserve">Raw Material Acquisition (Scope 3):</w:t>
      </w:r>
      <w:r>
        <w:t xml:space="preserve"> </w:t>
      </w:r>
      <w:r>
        <w:t xml:space="preserve">Accounting for 18.87 kg CO2e (approx. 36.6% of the total), this stage is the largest contributor, driven significantly by high-impact electronic components like the Printed Circuit Board and Silicon Microchip.</w:t>
      </w:r>
    </w:p>
    <w:p>
      <w:pPr>
        <w:numPr>
          <w:ilvl w:val="0"/>
          <w:numId w:val="1019"/>
        </w:numPr>
        <w:pStyle w:val="Compact"/>
      </w:pPr>
      <w:r>
        <w:rPr>
          <w:bCs/>
          <w:b/>
        </w:rPr>
        <w:t xml:space="preserve">Use Phase (Scope 3):</w:t>
      </w:r>
      <w:r>
        <w:t xml:space="preserve"> </w:t>
      </w:r>
      <w:r>
        <w:t xml:space="preserve">Contributing 15.00 kg CO2e (approx. 29.1% of the total), the energy consumption during the product\'s 5-year lifespan is a substantial factor.</w:t>
      </w:r>
    </w:p>
    <w:p>
      <w:pPr>
        <w:numPr>
          <w:ilvl w:val="0"/>
          <w:numId w:val="1019"/>
        </w:numPr>
        <w:pStyle w:val="Compact"/>
      </w:pPr>
      <w:r>
        <w:rPr>
          <w:bCs/>
          <w:b/>
        </w:rPr>
        <w:t xml:space="preserve">Purchased Electricity for Production (Scope 2):</w:t>
      </w:r>
      <w:r>
        <w:t xml:space="preserve"> </w:t>
      </w:r>
      <w:r>
        <w:t xml:space="preserve">At 17.40 kg CO2e (approx. 33.8% of the total), the electricity mix in China, despite 40% renewable energy usage, still presents a significant impact.</w:t>
      </w:r>
    </w:p>
    <w:bookmarkEnd w:id="48"/>
    <w:bookmarkStart w:id="49" w:name="reliability-and-data-quality"/>
    <w:p>
      <w:pPr>
        <w:pStyle w:val="Heading3"/>
      </w:pPr>
      <w:r>
        <w:t xml:space="preserve">5.2. Reliability and Data Quality</w:t>
      </w:r>
    </w:p>
    <w:p>
      <w:pPr>
        <w:pStyle w:val="FirstParagraph"/>
      </w:pPr>
      <w:r>
        <w:t xml:space="preserve">This report utilized a mix of primary (specified parameters) and secondary (industry average emission factors) data. The reliability of the results is dependent on the accuracy of the simulated BOM and operational data. Industry-standard emission factors from reputable sources (e.g., Ecoinvent, DEFRA) have been used to ensure consistency and comparability.</w:t>
      </w:r>
    </w:p>
    <w:p>
      <w:pPr>
        <w:pStyle w:val="BodyText"/>
      </w:pPr>
      <w:r>
        <w:t xml:space="preserve">The assumption of generic emission factors for certain materials and processes, while standard practice for initial assessments, may lead to variations compared to supplier-specific data. Further refinement with primary data from direct suppliers for all BOM items, precise manufacturing process energy profiles, and actual transport routes and efficiencies would enhance accuracy.</w:t>
      </w:r>
    </w:p>
    <w:p>
      <w:pPr>
        <w:pStyle w:val="BodyText"/>
      </w:pPr>
      <w:r>
        <w:t xml:space="preserve">The inclusion of the End-of-Life phase with a recycling credit demonstrates the positive impact of circular economy initiatives like the existing take-back program. However, actual credits depend on the specific materials recycled and the avoided emissions of virgin material production, which can vary significantly.</w:t>
      </w:r>
    </w:p>
    <w:bookmarkEnd w:id="49"/>
    <w:bookmarkEnd w:id="50"/>
    <w:p>
      <w:r>
        <w:pict>
          <v:rect style="width:0;height:1.5pt" o:hralign="center" o:hrstd="t" o:hr="t"/>
        </w:pict>
      </w:r>
    </w:p>
    <w:p>
      <w:pPr>
        <w:pStyle w:val="FirstParagraph"/>
      </w:pPr>
      <w:r>
        <w:t xml:space="preserve">Confidential - Internal Use Only | Page</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syrzxsnwur</dc:title>
  <dc:creator/>
  <dc:description>High-detail Product Carbon Footprint (PCF) analysis report for product syrzxsnwur by hhgufqgwyg, following GHG Protocol standards and including 2026 LSR update considerations.</dc:description>
  <dc:language>en</dc:language>
  <cp:keywords/>
  <dcterms:created xsi:type="dcterms:W3CDTF">2026-07-15T06:11:59Z</dcterms:created>
  <dcterms:modified xsi:type="dcterms:W3CDTF">2026-07-15T06:11:59Z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