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Sustainable</w:t>
      </w:r>
      <w:r>
        <w:t xml:space="preserve"> </w:t>
      </w:r>
      <w:r>
        <w:t xml:space="preserve">Widget</w:t>
      </w:r>
      <w:r>
        <w:t xml:space="preserve"> </w:t>
      </w:r>
      <w:r>
        <w:t xml:space="preserve">Pro</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sustainable-widget-pro-yyznzuswte"/>
    <w:p>
      <w:pPr>
        <w:pStyle w:val="Heading1"/>
      </w:pPr>
      <w:r>
        <w:t xml:space="preserve">Sustainable Widget Pro (yyznzuswte)</w:t>
      </w:r>
    </w:p>
    <w:p>
      <w:pPr>
        <w:pStyle w:val="FirstParagraph"/>
      </w:pPr>
      <w:r>
        <w:rPr>
          <w:bCs/>
          <w:b/>
        </w:rPr>
        <w:t xml:space="preserve">Company Name:</w:t>
      </w:r>
      <w:r>
        <w:t xml:space="preserve"> </w:t>
      </w:r>
      <w:r>
        <w:t xml:space="preserve">GreenTech Innovations (jtvyexjwjz)</w:t>
      </w:r>
    </w:p>
    <w:p>
      <w:pPr>
        <w:pStyle w:val="BodyText"/>
      </w:pPr>
      <w:r>
        <w:rPr>
          <w:bCs/>
          <w:b/>
        </w:rPr>
        <w:t xml:space="preserve">Senior Sustainability Consultant:</w:t>
      </w:r>
      <w:r>
        <w:t xml:space="preserve"> </w:t>
      </w:r>
      <w:r>
        <w:t xml:space="preserve">zndwpkkhqz</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industry standards, and specific parameters provided by the user. While every effort has been made to ensure accuracy, it serves as a high-level analysis and should be further validated with primary data where possible.</w:t>
      </w:r>
    </w:p>
    <w:bookmarkEnd w:id="21"/>
    <w:bookmarkStart w:id="22" w:name="X82a26f984a9a14e996a919711c1073ad2f80f48"/>
    <w:p>
      <w:pPr>
        <w:pStyle w:val="Heading1"/>
      </w:pPr>
      <w:r>
        <w:t xml:space="preserve">Product Carbon Footprint Analysis Report: Sustainable Widget Pro (yyznzuswte)</w:t>
      </w:r>
    </w:p>
    <w:p>
      <w:pPr>
        <w:pStyle w:val="FirstParagraph"/>
      </w:pPr>
      <w:r>
        <w:rPr>
          <w:bCs/>
          <w:b/>
        </w:rPr>
        <w:t xml:space="preserve">Generated Date:</w:t>
      </w:r>
      <w:r>
        <w:t xml:space="preserve"> </w:t>
      </w:r>
      <w:r>
        <w:t xml:space="preserve">June 3, 2026</w:t>
      </w:r>
    </w:p>
    <w:p>
      <w:pPr>
        <w:pStyle w:val="BodyText"/>
      </w:pPr>
      <w:r>
        <w:rPr>
          <w:bCs/>
          <w:b/>
        </w:rPr>
        <w:t xml:space="preserve">Senior Sustainability Consultant:</w:t>
      </w:r>
      <w:r>
        <w:t xml:space="preserve"> </w:t>
      </w:r>
      <w:r>
        <w:t xml:space="preserve">zndwpkkhqz</w:t>
      </w:r>
    </w:p>
    <w:p>
      <w:pPr>
        <w:pStyle w:val="BodyText"/>
      </w:pPr>
      <w:r>
        <w:rPr>
          <w:bCs/>
          <w:b/>
        </w:rPr>
        <w:t xml:space="preserve">Company:</w:t>
      </w:r>
      <w:r>
        <w:t xml:space="preserve"> </w:t>
      </w:r>
      <w:r>
        <w:t xml:space="preserve">GreenTech Innovations (jtvyexjwjz)</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"Sustainable Widget Pro" (yyznzuswte) manufactured by GreenTech Innovations (jtvyexjwjz). The analysis adheres to the GHG Protocol accounting standard, incorporating the latest 2026 Land Sector and Removals (LSR) Standard where applicable, and ensures comprehensive Scope 3 coverage. The total carbon footprint for one functional unit of the Sustainable Widget Pro is calculated to be approximately 47.14 kgCO₂e. Key emission hotspots identified include the product\'s use phase, followed by material acquisition and transportation. The report also highlights the positive impact of the company\'s renewable energy usage and circular economy initiatives.</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As zndwpkkhqz, Senior Sustainability Consultant, this analysis follows a five-step methodology as prescribed by industry best practices and the GHG Protocol.</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the Sustainable Widget Pro.</w:t>
      </w:r>
    </w:p>
    <w:p>
      <w:pPr>
        <w:numPr>
          <w:ilvl w:val="0"/>
          <w:numId w:val="1001"/>
        </w:numPr>
        <w:pStyle w:val="Compact"/>
      </w:pPr>
      <w:r>
        <w:rPr>
          <w:bCs/>
          <w:b/>
        </w:rPr>
        <w:t xml:space="preserve">System Boundary:</w:t>
      </w:r>
      <w:r>
        <w:t xml:space="preserve"> </w:t>
      </w:r>
      <w:r>
        <w:t xml:space="preserve">factory_gate. This boundary encompasses all processes from raw material extraction (cradle) to the point where the product leaves the manufacturing facility (gate). Downstream emissions (transportation, use phase, end-of-life) are also included in the full life cycle assessment as per GHG Protocol Scope 3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implies a significant intercontinental transport component.</w:t>
      </w:r>
    </w:p>
    <w:p>
      <w:pPr>
        <w:numPr>
          <w:ilvl w:val="0"/>
          <w:numId w:val="1001"/>
        </w:numPr>
        <w:pStyle w:val="Compact"/>
      </w:pPr>
      <w:r>
        <w:rPr>
          <w:bCs/>
          <w:b/>
        </w:rPr>
        <w:t xml:space="preserve">Allocation:</w:t>
      </w:r>
      <w:r>
        <w:t xml:space="preserve"> </w:t>
      </w:r>
      <w:r>
        <w:t xml:space="preserve">For multi-output processes, economic allocation is generally preferred by GHG Protocol; however, for this single product PCF, direct attribution of impacts to the functional unit is applied. Recycling benefits are accounted for using an an avoided burden approach at End-of-Life.</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(value chain emissions).</w:t>
      </w:r>
    </w:p>
    <w:bookmarkEnd w:id="24"/>
    <w:bookmarkStart w:id="25" w:name="apply-2026-lsr-update"/>
    <w:p>
      <w:pPr>
        <w:pStyle w:val="Heading3"/>
      </w:pPr>
      <w:r>
        <w:t xml:space="preserve">1.2. Apply 2026 LSR Update</w:t>
      </w:r>
    </w:p>
    <w:p>
      <w:pPr>
        <w:pStyle w:val="FirstParagraph"/>
      </w:pPr>
      <w:r>
        <w:t xml:space="preserve">The Land Sector and Removals (LSR) Standard for land use and carbon removals has been considered. While direct land-use change data specific to raw material extraction for this product was not provided, its principles are acknowledged for future detailed assessments involving land-intensive commodities. Carbon removals through circular economy initiatives (e.g., recycling) are explicitly accounted for as avoided emissions.</w:t>
      </w:r>
    </w:p>
    <w:p>
      <w:r>
        <w:pict>
          <v:rect style="width:0;height:1.5pt" o:hralign="center" o:hrstd="t" o:hr="t"/>
        </w:pict>
      </w:r>
    </w:p>
    <w:bookmarkEnd w:id="25"/>
    <w:bookmarkEnd w:id="26"/>
    <w:bookmarkStart w:id="34" w:name="lifecycle-mapping-and-data-collection"/>
    <w:p>
      <w:pPr>
        <w:pStyle w:val="Heading2"/>
      </w:pPr>
      <w:r>
        <w:t xml:space="preserve">2. Lifecycle Mapping and Data Collection</w:t>
      </w:r>
    </w:p>
    <w:p>
      <w:pPr>
        <w:pStyle w:val="FirstParagraph"/>
      </w:pPr>
      <w:r>
        <w:t xml:space="preserve">The product lifecycle for the Sustainable Widget Pro (yyznzuswte) is mapped through several stages, and data is collected from primary (provided parameters) and secondary (industry-standard emission factors) sources.</w:t>
      </w:r>
    </w:p>
    <w:bookmarkStart w:id="27" w:name="lifecycle-stages-lci-inventory"/>
    <w:p>
      <w:pPr>
        <w:pStyle w:val="Heading3"/>
      </w:pPr>
      <w:r>
        <w:t xml:space="preserve">2.1. Lifecycle Stages (LCI Inventory)</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listed in the Detailed Bill of Materials (BOM).</w:t>
      </w:r>
    </w:p>
    <w:p>
      <w:pPr>
        <w:numPr>
          <w:ilvl w:val="0"/>
          <w:numId w:val="1002"/>
        </w:numPr>
        <w:pStyle w:val="Compact"/>
      </w:pPr>
      <w:r>
        <w:rPr>
          <w:bCs/>
          <w:b/>
        </w:rPr>
        <w:t xml:space="preserve">Manufacturing:</w:t>
      </w:r>
      <w:r>
        <w:t xml:space="preserve"> </w:t>
      </w:r>
      <w:r>
        <w:t xml:space="preserve">Energy consumption during the assembly and production of the final product at the factory.</w:t>
      </w:r>
    </w:p>
    <w:p>
      <w:pPr>
        <w:numPr>
          <w:ilvl w:val="0"/>
          <w:numId w:val="1002"/>
        </w:numPr>
        <w:pStyle w:val="Compact"/>
      </w:pPr>
      <w:r>
        <w:rPr>
          <w:bCs/>
          <w:b/>
        </w:rPr>
        <w:t xml:space="preserve">Transportation (Upstream &amp; Downstream):</w:t>
      </w:r>
      <w:r>
        <w:t xml:space="preserve"> </w:t>
      </w:r>
      <w:r>
        <w:t xml:space="preserve">Inbound logistics for materials, outbound logistics for distribution to market, and last-mile delivery to the customer.</w:t>
      </w:r>
    </w:p>
    <w:p>
      <w:pPr>
        <w:numPr>
          <w:ilvl w:val="0"/>
          <w:numId w:val="1002"/>
        </w:numPr>
        <w:pStyle w:val="Compact"/>
      </w:pPr>
      <w:r>
        <w:rPr>
          <w:bCs/>
          <w:b/>
        </w:rPr>
        <w:t xml:space="preserve">Use Phase:</w:t>
      </w:r>
      <w:r>
        <w:t xml:space="preserve"> </w:t>
      </w:r>
      <w:r>
        <w:t xml:space="preserve">Energy consumption of the product during its operational lifespan by the end-user.</w:t>
      </w:r>
    </w:p>
    <w:p>
      <w:pPr>
        <w:numPr>
          <w:ilvl w:val="0"/>
          <w:numId w:val="1002"/>
        </w:numPr>
        <w:pStyle w:val="Compact"/>
      </w:pPr>
      <w:r>
        <w:rPr>
          <w:bCs/>
          <w:b/>
        </w:rPr>
        <w:t xml:space="preserve">End-of-Life (EoL):</w:t>
      </w:r>
      <w:r>
        <w:t xml:space="preserve"> </w:t>
      </w:r>
      <w:r>
        <w:t xml:space="preserve">Disposal (landfilling) and recovery (recycling) processes for the product and its components after its useful life.</w:t>
      </w:r>
    </w:p>
    <w:bookmarkEnd w:id="27"/>
    <w:bookmarkStart w:id="33" w:name="data-collection---detailed-breakdown"/>
    <w:p>
      <w:pPr>
        <w:pStyle w:val="Heading3"/>
      </w:pPr>
      <w:r>
        <w:t xml:space="preserve">2.2. Data Collection - Detailed Breakdown</w:t>
      </w:r>
    </w:p>
    <w:p>
      <w:pPr>
        <w:pStyle w:val="FirstParagraph"/>
      </w:pPr>
      <w:r>
        <w:t xml:space="preserve">The following specific data points have been incorporated into the analysis:</w:t>
      </w:r>
    </w:p>
    <w:bookmarkStart w:id="28" w:name="X2d397dfae07dab8b714b590a124d01822d51f56"/>
    <w:p>
      <w:pPr>
        <w:pStyle w:val="Heading4"/>
      </w:pPr>
      <w:r>
        <w:t xml:space="preserve">2.2.1. Detailed Bill of Materials (BOM) - vsikgwik</w:t>
      </w:r>
    </w:p>
    <w:p>
      <w:pPr>
        <w:pStyle w:val="FirstParagraph"/>
      </w:pPr>
      <w:r>
        <w:t xml:space="preserve">The material impact calculation is based on the provided detailed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1.8</w:t>
            </w:r>
          </w:p>
        </w:tc>
        <w:tc>
          <w:tcPr/>
          <w:p>
            <w:pPr>
              <w:pStyle w:val="Compact"/>
              <w:jc w:val="left"/>
            </w:pPr>
            <w:r>
              <w:t xml:space="preserve">4.50</w:t>
            </w:r>
          </w:p>
        </w:tc>
      </w:tr>
      <w:tr>
        <w:tc>
          <w:tcPr/>
          <w:p>
            <w:pPr>
              <w:pStyle w:val="Compact"/>
              <w:jc w:val="left"/>
            </w:pPr>
            <w:r>
              <w:t xml:space="preserve">2</w:t>
            </w:r>
          </w:p>
        </w:tc>
        <w:tc>
          <w:tcPr/>
          <w:p>
            <w:pPr>
              <w:pStyle w:val="Compact"/>
              <w:jc w:val="left"/>
            </w:pPr>
            <w:r>
              <w:t xml:space="preserve">ABS Plastic Shell</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4.00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0.50</w:t>
            </w:r>
          </w:p>
        </w:tc>
      </w:tr>
      <w:tr>
        <w:tc>
          <w:tcPr>
            <w:gridSpan w:val="7"/>
          </w:tcPr>
          <w:p>
            <w:pPr>
              <w:pStyle w:val="Compact"/>
              <w:jc w:val="right"/>
            </w:pPr>
            <w:r>
              <w:t xml:space="preserve">Total Material Carbon Footprint:</w:t>
            </w:r>
          </w:p>
        </w:tc>
        <w:tc>
          <w:tcPr/>
          <w:p>
            <w:pPr>
              <w:pStyle w:val="Compact"/>
              <w:jc w:val="left"/>
            </w:pPr>
            <w:r>
              <w:t xml:space="preserve">11.06 kgCO₂e</w:t>
            </w:r>
          </w:p>
        </w:tc>
      </w:tr>
    </w:tbl>
    <w:p>
      <w:pPr>
        <w:pStyle w:val="BodyText"/>
      </w:pPr>
      <w:r>
        <w:rPr>
          <w:iCs/>
          <w:i/>
        </w:rPr>
        <w:t xml:space="preserve">Note: The "Total Carbon" values provided in the BOM string are used directly as pre-calculated emissions for each material. The total weight of the finished product (components only) is 3.6 kg, and packaging is 0.5 kg.</w:t>
      </w:r>
    </w:p>
    <w:bookmarkEnd w:id="28"/>
    <w:bookmarkStart w:id="29" w:name="production-phase-energy-data"/>
    <w:p>
      <w:pPr>
        <w:pStyle w:val="Heading4"/>
      </w:pPr>
      <w:r>
        <w:t xml:space="preserve">2.2.2. Production Phase Energy Data</w:t>
      </w:r>
    </w:p>
    <w:p>
      <w:pPr>
        <w:numPr>
          <w:ilvl w:val="0"/>
          <w:numId w:val="1003"/>
        </w:numPr>
        <w:pStyle w:val="Compact"/>
      </w:pPr>
      <w:r>
        <w:rPr>
          <w:bCs/>
          <w:b/>
        </w:rPr>
        <w:t xml:space="preserve">Renewable Energy Usage (koqgifojts):</w:t>
      </w:r>
      <w:r>
        <w:t xml:space="preserve"> </w:t>
      </w:r>
      <w:r>
        <w:t xml:space="preserve">60%</w:t>
      </w:r>
    </w:p>
    <w:p>
      <w:pPr>
        <w:numPr>
          <w:ilvl w:val="0"/>
          <w:numId w:val="1003"/>
        </w:numPr>
        <w:pStyle w:val="Compact"/>
      </w:pPr>
      <w:r>
        <w:rPr>
          <w:bCs/>
          <w:b/>
        </w:rPr>
        <w:t xml:space="preserve">Energy Intensity (fwjrztrppi):</w:t>
      </w:r>
      <w:r>
        <w:t xml:space="preserve"> </w:t>
      </w:r>
      <w:r>
        <w:t xml:space="preserve">15 kWh/unit</w:t>
      </w:r>
    </w:p>
    <w:p>
      <w:pPr>
        <w:numPr>
          <w:ilvl w:val="0"/>
          <w:numId w:val="1003"/>
        </w:numPr>
        <w:pStyle w:val="Compact"/>
      </w:pPr>
      <w:r>
        <w:rPr>
          <w:bCs/>
          <w:b/>
        </w:rPr>
        <w:t xml:space="preserve">Non-renewable Electricity Mix Factor (China, 2023):</w:t>
      </w:r>
      <w:r>
        <w:t xml:space="preserve"> </w:t>
      </w:r>
      <w:r>
        <w:t xml:space="preserve">0.6205 kgCO₂e/kWh</w:t>
      </w:r>
    </w:p>
    <w:bookmarkEnd w:id="29"/>
    <w:bookmarkStart w:id="30" w:name="logistics-data"/>
    <w:p>
      <w:pPr>
        <w:pStyle w:val="Heading4"/>
      </w:pPr>
      <w:r>
        <w:t xml:space="preserve">2.2.3. Logistics Data</w:t>
      </w:r>
    </w:p>
    <w:p>
      <w:pPr>
        <w:numPr>
          <w:ilvl w:val="0"/>
          <w:numId w:val="1004"/>
        </w:numPr>
        <w:pStyle w:val="Compact"/>
      </w:pPr>
      <w:r>
        <w:rPr>
          <w:bCs/>
          <w:b/>
        </w:rPr>
        <w:t xml:space="preserve">Primary Transport Mode (Select Mode):</w:t>
      </w:r>
      <w:r>
        <w:t xml:space="preserve"> </w:t>
      </w:r>
      <w:r>
        <w:t xml:space="preserve">Sea Freight (Intercontinental) and Road Freight (Europe)</w:t>
      </w:r>
    </w:p>
    <w:p>
      <w:pPr>
        <w:numPr>
          <w:ilvl w:val="0"/>
          <w:numId w:val="1004"/>
        </w:numPr>
        <w:pStyle w:val="Compact"/>
      </w:pPr>
      <w:r>
        <w:rPr>
          <w:bCs/>
          <w:b/>
        </w:rPr>
        <w:t xml:space="preserve">Primary Transport Distance (ojuwhlfhlu):</w:t>
      </w:r>
    </w:p>
    <w:p>
      <w:pPr>
        <w:numPr>
          <w:ilvl w:val="1"/>
          <w:numId w:val="1005"/>
        </w:numPr>
        <w:pStyle w:val="Compact"/>
      </w:pPr>
      <w:r>
        <w:t xml:space="preserve">Sea Freight: 8000 km</w:t>
      </w:r>
    </w:p>
    <w:p>
      <w:pPr>
        <w:numPr>
          <w:ilvl w:val="1"/>
          <w:numId w:val="1005"/>
        </w:numPr>
        <w:pStyle w:val="Compact"/>
      </w:pPr>
      <w:r>
        <w:t xml:space="preserve">Road Freight (Europe): 2000 km</w:t>
      </w:r>
    </w:p>
    <w:p>
      <w:pPr>
        <w:numPr>
          <w:ilvl w:val="0"/>
          <w:numId w:val="1004"/>
        </w:numPr>
        <w:pStyle w:val="Compact"/>
      </w:pPr>
      <w:r>
        <w:rPr>
          <w:bCs/>
          <w:b/>
        </w:rPr>
        <w:t xml:space="preserve">Last-Mile Delivery Channel (Delivery Type):</w:t>
      </w:r>
      <w:r>
        <w:t xml:space="preserve"> </w:t>
      </w:r>
      <w:r>
        <w:t xml:space="preserve">Light Commercial Vehicle</w:t>
      </w:r>
    </w:p>
    <w:p>
      <w:pPr>
        <w:numPr>
          <w:ilvl w:val="0"/>
          <w:numId w:val="1004"/>
        </w:numPr>
        <w:pStyle w:val="Compact"/>
      </w:pPr>
      <w:r>
        <w:rPr>
          <w:bCs/>
          <w:b/>
        </w:rPr>
        <w:t xml:space="preserve">Last-Mile Delivery Distance (Assumed):</w:t>
      </w:r>
      <w:r>
        <w:t xml:space="preserve"> </w:t>
      </w:r>
      <w:r>
        <w:t xml:space="preserve">50 km</w:t>
      </w:r>
    </w:p>
    <w:p>
      <w:pPr>
        <w:numPr>
          <w:ilvl w:val="0"/>
          <w:numId w:val="1004"/>
        </w:numPr>
        <w:pStyle w:val="Compact"/>
      </w:pPr>
      <w:r>
        <w:rPr>
          <w:bCs/>
          <w:b/>
        </w:rPr>
        <w:t xml:space="preserve">Assumed Product Weight for Transport:</w:t>
      </w:r>
      <w:r>
        <w:t xml:space="preserve"> </w:t>
      </w:r>
      <w:r>
        <w:t xml:space="preserve">4.1 kg (3.6 kg product + 0.5 kg packaging)</w:t>
      </w:r>
    </w:p>
    <w:p>
      <w:pPr>
        <w:numPr>
          <w:ilvl w:val="0"/>
          <w:numId w:val="1004"/>
        </w:numPr>
        <w:pStyle w:val="Compact"/>
      </w:pPr>
      <w:r>
        <w:rPr>
          <w:bCs/>
          <w:b/>
        </w:rPr>
        <w:t xml:space="preserve">Emission Factor - Sea Freight (Container Ship):</w:t>
      </w:r>
      <w:r>
        <w:t xml:space="preserve"> </w:t>
      </w:r>
      <w:r>
        <w:t xml:space="preserve">0.016142 kgCO₂e/tonne-km</w:t>
      </w:r>
    </w:p>
    <w:p>
      <w:pPr>
        <w:numPr>
          <w:ilvl w:val="0"/>
          <w:numId w:val="1004"/>
        </w:numPr>
        <w:pStyle w:val="Compact"/>
      </w:pPr>
      <w:r>
        <w:rPr>
          <w:bCs/>
          <w:b/>
        </w:rPr>
        <w:t xml:space="preserve">Emission Factor - Road Freight (Heavy Goods Vehicle, illustrative):</w:t>
      </w:r>
      <w:r>
        <w:t xml:space="preserve"> </w:t>
      </w:r>
      <w:r>
        <w:t xml:space="preserve">0.08 kgCO₂e/tonne-km</w:t>
      </w:r>
    </w:p>
    <w:p>
      <w:pPr>
        <w:numPr>
          <w:ilvl w:val="0"/>
          <w:numId w:val="1004"/>
        </w:numPr>
        <w:pStyle w:val="Compact"/>
      </w:pPr>
      <w:r>
        <w:rPr>
          <w:bCs/>
          <w:b/>
        </w:rPr>
        <w:t xml:space="preserve">Emission Factor - Light Commercial Vehicle (illustrative):</w:t>
      </w:r>
      <w:r>
        <w:t xml:space="preserve"> </w:t>
      </w:r>
      <w:r>
        <w:t xml:space="preserve">0.15 kgCO₂e/km</w:t>
      </w:r>
    </w:p>
    <w:bookmarkEnd w:id="30"/>
    <w:bookmarkStart w:id="31" w:name="use-phase-data"/>
    <w:p>
      <w:pPr>
        <w:pStyle w:val="Heading4"/>
      </w:pPr>
      <w:r>
        <w:t xml:space="preserve">2.2.4. Use Phase Data</w:t>
      </w:r>
    </w:p>
    <w:p>
      <w:pPr>
        <w:numPr>
          <w:ilvl w:val="0"/>
          <w:numId w:val="1006"/>
        </w:numPr>
        <w:pStyle w:val="Compact"/>
      </w:pPr>
      <w:r>
        <w:rPr>
          <w:bCs/>
          <w:b/>
        </w:rPr>
        <w:t xml:space="preserve">Product Lifespan (zsedikwogj):</w:t>
      </w:r>
      <w:r>
        <w:t xml:space="preserve"> </w:t>
      </w:r>
      <w:r>
        <w:t xml:space="preserve">5 years</w:t>
      </w:r>
    </w:p>
    <w:p>
      <w:pPr>
        <w:numPr>
          <w:ilvl w:val="0"/>
          <w:numId w:val="1006"/>
        </w:numPr>
        <w:pStyle w:val="Compact"/>
      </w:pPr>
      <w:r>
        <w:rPr>
          <w:bCs/>
          <w:b/>
        </w:rPr>
        <w:t xml:space="preserve">Energy Consumption in Use (snvkzlvsll):</w:t>
      </w:r>
      <w:r>
        <w:t xml:space="preserve"> </w:t>
      </w:r>
      <w:r>
        <w:t xml:space="preserve">10 kWh/year</w:t>
      </w:r>
    </w:p>
    <w:p>
      <w:pPr>
        <w:numPr>
          <w:ilvl w:val="0"/>
          <w:numId w:val="1006"/>
        </w:numPr>
        <w:pStyle w:val="Compact"/>
      </w:pPr>
      <w:r>
        <w:rPr>
          <w:bCs/>
          <w:b/>
        </w:rPr>
        <w:t xml:space="preserve">Assumed Electricity Mix Factor (for use phase, China 2023 for consistency):</w:t>
      </w:r>
      <w:r>
        <w:t xml:space="preserve"> </w:t>
      </w:r>
      <w:r>
        <w:t xml:space="preserve">0.6205 kgCO₂e/kWh</w:t>
      </w:r>
    </w:p>
    <w:bookmarkEnd w:id="31"/>
    <w:bookmarkStart w:id="32" w:name="end-of-life-eol-scenarios"/>
    <w:p>
      <w:pPr>
        <w:pStyle w:val="Heading4"/>
      </w:pPr>
      <w:r>
        <w:t xml:space="preserve">2.2.5. End-of-Life (EoL) Scenarios</w:t>
      </w:r>
    </w:p>
    <w:p>
      <w:pPr>
        <w:numPr>
          <w:ilvl w:val="0"/>
          <w:numId w:val="1007"/>
        </w:numPr>
        <w:pStyle w:val="Compact"/>
      </w:pPr>
      <w:r>
        <w:rPr>
          <w:bCs/>
          <w:b/>
        </w:rPr>
        <w:t xml:space="preserve">Recyclability Percentage (ksjflyguzj):</w:t>
      </w:r>
      <w:r>
        <w:t xml:space="preserve"> </w:t>
      </w:r>
      <w:r>
        <w:t xml:space="preserve">70%</w:t>
      </w:r>
    </w:p>
    <w:p>
      <w:pPr>
        <w:numPr>
          <w:ilvl w:val="0"/>
          <w:numId w:val="1007"/>
        </w:numPr>
        <w:pStyle w:val="Compact"/>
      </w:pPr>
      <w:r>
        <w:rPr>
          <w:bCs/>
          <w:b/>
        </w:rPr>
        <w:t xml:space="preserve">Circular/Take-back Programs (djdprlfpof):</w:t>
      </w:r>
      <w:r>
        <w:t xml:space="preserve"> </w:t>
      </w:r>
      <w:r>
        <w:t xml:space="preserve">Yes, Product Take-back and Refurbishment Program</w:t>
      </w:r>
    </w:p>
    <w:p>
      <w:pPr>
        <w:numPr>
          <w:ilvl w:val="0"/>
          <w:numId w:val="1007"/>
        </w:numPr>
        <w:pStyle w:val="Compact"/>
      </w:pPr>
      <w:r>
        <w:rPr>
          <w:bCs/>
          <w:b/>
        </w:rPr>
        <w:t xml:space="preserve">Emission Factor - Landfill (Plastic/Mixed Waste, illustrative):</w:t>
      </w:r>
      <w:r>
        <w:t xml:space="preserve"> </w:t>
      </w:r>
      <w:r>
        <w:t xml:space="preserve">0.033 kgCO₂e/kg</w:t>
      </w:r>
    </w:p>
    <w:p>
      <w:pPr>
        <w:numPr>
          <w:ilvl w:val="0"/>
          <w:numId w:val="1007"/>
        </w:numPr>
        <w:pStyle w:val="Compact"/>
      </w:pPr>
      <w:r>
        <w:rPr>
          <w:bCs/>
          <w:b/>
        </w:rPr>
        <w:t xml:space="preserve">Recycling Benefit:</w:t>
      </w:r>
      <w:r>
        <w:t xml:space="preserve"> </w:t>
      </w:r>
      <w:r>
        <w:t xml:space="preserve">Accounted for as avoided emissions from virgin material production based on the recyclable percentage.</w:t>
      </w:r>
    </w:p>
    <w:p>
      <w:r>
        <w:pict>
          <v:rect style="width:0;height:1.5pt" o:hralign="center" o:hrstd="t" o:hr="t"/>
        </w:pict>
      </w:r>
    </w:p>
    <w:bookmarkEnd w:id="32"/>
    <w:bookmarkEnd w:id="33"/>
    <w:bookmarkEnd w:id="34"/>
    <w:bookmarkStart w:id="42" w:name="Xf4d341b57cb8ff6426d37c7f1f667033fe77876"/>
    <w:p>
      <w:pPr>
        <w:pStyle w:val="Heading2"/>
      </w:pPr>
      <w:r>
        <w:t xml:space="preserve">3. Emission Calculation (Activity * Emission Factor = CO₂e)</w:t>
      </w:r>
    </w:p>
    <w:p>
      <w:pPr>
        <w:pStyle w:val="FirstParagraph"/>
      </w:pPr>
      <w:r>
        <w:t xml:space="preserve">Emissions are calculated for each life cycle stage and categorized according to the GHG Protocol.</w:t>
      </w:r>
    </w:p>
    <w:bookmarkStart w:id="35" w:name="scope-1-direct-emissions"/>
    <w:p>
      <w:pPr>
        <w:pStyle w:val="Heading3"/>
      </w:pPr>
      <w:r>
        <w:t xml:space="preserve">3.1. Scope 1: Direct Emissions</w:t>
      </w:r>
    </w:p>
    <w:p>
      <w:pPr>
        <w:pStyle w:val="FirstParagraph"/>
      </w:pPr>
      <w:r>
        <w:t xml:space="preserve">No direct operational emissions (e.g., from company-owned vehicle fleets or on-site fuel combustion not tied to electricity generation) were explicitly provided in the parameters for the manufacturing facility. Therefore, Scope 1 emissions are assumed to be negligible or outside the defined factory_gate boundary for direct combustion by jtvyexjwjz.</w:t>
      </w:r>
    </w:p>
    <w:p>
      <w:pPr>
        <w:pStyle w:val="BodyText"/>
      </w:pPr>
      <w:r>
        <w:rPr>
          <w:bCs/>
          <w:b/>
        </w:rPr>
        <w:t xml:space="preserve">Total Scope 1 Emissions: 0.00 kgCO₂e</w:t>
      </w:r>
    </w:p>
    <w:bookmarkEnd w:id="35"/>
    <w:bookmarkStart w:id="36" w:name="Xb723199ec699a00f8e69a8c739729ec15ed31a7"/>
    <w:p>
      <w:pPr>
        <w:pStyle w:val="Heading3"/>
      </w:pPr>
      <w:r>
        <w:t xml:space="preserve">3.2. Scope 2: Purchased Energy Emissions (Production)</w:t>
      </w:r>
    </w:p>
    <w:p>
      <w:pPr>
        <w:pStyle w:val="FirstParagraph"/>
      </w:pPr>
      <w:r>
        <w:t xml:space="preserve">Emissions from purchased electricity for the manufacturing process at GreenTech Innovations\' facility.</w:t>
      </w:r>
    </w:p>
    <w:p>
      <w:pPr>
        <w:numPr>
          <w:ilvl w:val="0"/>
          <w:numId w:val="1008"/>
        </w:numPr>
        <w:pStyle w:val="Compact"/>
      </w:pPr>
      <w:r>
        <w:t xml:space="preserve">Energy Intensity: 15 kWh/unit</w:t>
      </w:r>
    </w:p>
    <w:p>
      <w:pPr>
        <w:numPr>
          <w:ilvl w:val="0"/>
          <w:numId w:val="1008"/>
        </w:numPr>
        <w:pStyle w:val="Compact"/>
      </w:pPr>
      <w:r>
        <w:t xml:space="preserve">Renewable Energy Usage: 60%</w:t>
      </w:r>
    </w:p>
    <w:p>
      <w:pPr>
        <w:numPr>
          <w:ilvl w:val="0"/>
          <w:numId w:val="1008"/>
        </w:numPr>
        <w:pStyle w:val="Compact"/>
      </w:pPr>
      <w:r>
        <w:t xml:space="preserve">Non-renewable Energy: 15 kWh/unit * (1 - 0.60) = 6 kWh/unit</w:t>
      </w:r>
    </w:p>
    <w:p>
      <w:pPr>
        <w:numPr>
          <w:ilvl w:val="0"/>
          <w:numId w:val="1008"/>
        </w:numPr>
        <w:pStyle w:val="Compact"/>
      </w:pPr>
      <w:r>
        <w:t xml:space="preserve">Emission Factor (China, 2023): 0.6205 kgCO₂e/kWh</w:t>
      </w:r>
    </w:p>
    <w:p>
      <w:pPr>
        <w:numPr>
          <w:ilvl w:val="0"/>
          <w:numId w:val="1008"/>
        </w:numPr>
        <w:pStyle w:val="Compact"/>
      </w:pPr>
      <w:r>
        <w:rPr>
          <w:bCs/>
          <w:b/>
        </w:rPr>
        <w:t xml:space="preserve">Calculation:</w:t>
      </w:r>
      <w:r>
        <w:t xml:space="preserve"> </w:t>
      </w:r>
      <w:r>
        <w:t xml:space="preserve">6 kWh/unit * 0.6205 kgCO₂e/kWh = 3.723 kgCO₂e/unit</w:t>
      </w:r>
    </w:p>
    <w:p>
      <w:pPr>
        <w:pStyle w:val="FirstParagraph"/>
      </w:pPr>
      <w:r>
        <w:rPr>
          <w:bCs/>
          <w:b/>
        </w:rPr>
        <w:t xml:space="preserve">Total Scope 2 Emissions: 3.723 kgCO₂e</w:t>
      </w:r>
    </w:p>
    <w:bookmarkEnd w:id="36"/>
    <w:bookmarkStart w:id="39" w:name="scope-3-value-chain-emissions"/>
    <w:p>
      <w:pPr>
        <w:pStyle w:val="Heading3"/>
      </w:pPr>
      <w:r>
        <w:t xml:space="preserve">3.3. Scope 3: Value Chain Emissions</w:t>
      </w:r>
    </w:p>
    <w:p>
      <w:pPr>
        <w:pStyle w:val="FirstParagraph"/>
      </w:pPr>
      <w:r>
        <w:t xml:space="preserve">This category encompasses all indirect emissions from the value chain, both upstream and downstream.</w:t>
      </w:r>
    </w:p>
    <w:bookmarkStart w:id="37" w:name="upstream-emissions-category-1-4"/>
    <w:p>
      <w:pPr>
        <w:pStyle w:val="Heading4"/>
      </w:pPr>
      <w:r>
        <w:t xml:space="preserve">3.3.1. Upstream Emissions (Category 1 &amp; 4)</w:t>
      </w:r>
    </w:p>
    <w:p>
      <w:pPr>
        <w:numPr>
          <w:ilvl w:val="0"/>
          <w:numId w:val="1009"/>
        </w:numPr>
        <w:pStyle w:val="Compact"/>
      </w:pPr>
      <w:r>
        <w:rPr>
          <w:bCs/>
          <w:b/>
        </w:rPr>
        <w:t xml:space="preserve">Category 1: Purchased Goods and Services (Materials Acquisition &amp; Pre-processing):</w:t>
      </w:r>
    </w:p>
    <w:p>
      <w:pPr>
        <w:numPr>
          <w:ilvl w:val="1"/>
          <w:numId w:val="1010"/>
        </w:numPr>
        <w:pStyle w:val="Compact"/>
      </w:pPr>
      <w:r>
        <w:t xml:space="preserve">Total Carbon from BOM: 11.06 kgCO₂e</w:t>
      </w:r>
    </w:p>
    <w:p>
      <w:pPr>
        <w:numPr>
          <w:ilvl w:val="0"/>
          <w:numId w:val="1009"/>
        </w:numPr>
        <w:pStyle w:val="Compact"/>
      </w:pPr>
      <w:r>
        <w:rPr>
          <w:bCs/>
          <w:b/>
        </w:rPr>
        <w:t xml:space="preserve">Category 4: Upstream Transportation and Distribution:</w:t>
      </w:r>
    </w:p>
    <w:p>
      <w:pPr>
        <w:numPr>
          <w:ilvl w:val="1"/>
          <w:numId w:val="1011"/>
        </w:numPr>
        <w:pStyle w:val="Compact"/>
      </w:pPr>
      <w:r>
        <w:t xml:space="preserve">Product Weight for Transport: 4.1 kg = 0.0041 tonnes</w:t>
      </w:r>
    </w:p>
    <w:p>
      <w:pPr>
        <w:numPr>
          <w:ilvl w:val="1"/>
          <w:numId w:val="1011"/>
        </w:numPr>
        <w:pStyle w:val="Compact"/>
      </w:pPr>
      <w:r>
        <w:t xml:space="preserve">Sea Freight: 0.0041 tonnes * 8000 km * 0.016142 kgCO₂e/tonne-km = 0.529 kgCO₂e</w:t>
      </w:r>
    </w:p>
    <w:p>
      <w:pPr>
        <w:numPr>
          <w:ilvl w:val="1"/>
          <w:numId w:val="1011"/>
        </w:numPr>
        <w:pStyle w:val="Compact"/>
      </w:pPr>
      <w:r>
        <w:t xml:space="preserve">Road Freight (Europe): 0.0041 tonnes * 2000 km * 0.08 kgCO₂e/tonne-km = 0.656 kgCO₂e</w:t>
      </w:r>
    </w:p>
    <w:p>
      <w:pPr>
        <w:numPr>
          <w:ilvl w:val="0"/>
          <w:numId w:val="1009"/>
        </w:numPr>
        <w:pStyle w:val="Compact"/>
      </w:pPr>
      <w:r>
        <w:rPr>
          <w:bCs/>
          <w:b/>
        </w:rPr>
        <w:t xml:space="preserve">Subtotal Upstream Emissions:</w:t>
      </w:r>
      <w:r>
        <w:t xml:space="preserve"> </w:t>
      </w:r>
      <w:r>
        <w:t xml:space="preserve">11.06 kgCO₂e (Materials) + 0.529 kgCO₂e (Sea Freight) + 0.656 kgCO₂e (Road Freight) = 12.245 kgCO₂e</w:t>
      </w:r>
    </w:p>
    <w:bookmarkEnd w:id="37"/>
    <w:bookmarkStart w:id="38" w:name="downstream-emissions-category-9-11-12"/>
    <w:p>
      <w:pPr>
        <w:pStyle w:val="Heading4"/>
      </w:pPr>
      <w:r>
        <w:t xml:space="preserve">3.3.2. Downstream Emissions (Category 9, 11 &amp; 12)</w:t>
      </w:r>
    </w:p>
    <w:p>
      <w:pPr>
        <w:numPr>
          <w:ilvl w:val="0"/>
          <w:numId w:val="1012"/>
        </w:numPr>
        <w:pStyle w:val="Compact"/>
      </w:pPr>
      <w:r>
        <w:rPr>
          <w:bCs/>
          <w:b/>
        </w:rPr>
        <w:t xml:space="preserve">Category 9: Downstream Transportation and Distribution (Last-Mile Delivery):</w:t>
      </w:r>
    </w:p>
    <w:p>
      <w:pPr>
        <w:numPr>
          <w:ilvl w:val="1"/>
          <w:numId w:val="1013"/>
        </w:numPr>
        <w:pStyle w:val="Compact"/>
      </w:pPr>
      <w:r>
        <w:t xml:space="preserve">Last-Mile Distance: 50 km</w:t>
      </w:r>
    </w:p>
    <w:p>
      <w:pPr>
        <w:numPr>
          <w:ilvl w:val="1"/>
          <w:numId w:val="1013"/>
        </w:numPr>
        <w:pStyle w:val="Compact"/>
      </w:pPr>
      <w:r>
        <w:t xml:space="preserve">Emission Factor (Light Commercial Vehicle): 0.15 kgCO₂e/km</w:t>
      </w:r>
    </w:p>
    <w:p>
      <w:pPr>
        <w:numPr>
          <w:ilvl w:val="1"/>
          <w:numId w:val="1013"/>
        </w:numPr>
        <w:pStyle w:val="Compact"/>
      </w:pPr>
      <w:r>
        <w:rPr>
          <w:bCs/>
          <w:b/>
        </w:rPr>
        <w:t xml:space="preserve">Calculation:</w:t>
      </w:r>
      <w:r>
        <w:t xml:space="preserve"> </w:t>
      </w:r>
      <w:r>
        <w:t xml:space="preserve">50 km * 0.15 kgCO₂e/km = 7.5 kgCO₂e</w:t>
      </w:r>
    </w:p>
    <w:p>
      <w:pPr>
        <w:numPr>
          <w:ilvl w:val="0"/>
          <w:numId w:val="1012"/>
        </w:numPr>
        <w:pStyle w:val="Compact"/>
      </w:pPr>
      <w:r>
        <w:rPr>
          <w:bCs/>
          <w:b/>
        </w:rPr>
        <w:t xml:space="preserve">Category 11: Use of Sold Products (Energy Consumption in Use):</w:t>
      </w:r>
    </w:p>
    <w:p>
      <w:pPr>
        <w:numPr>
          <w:ilvl w:val="1"/>
          <w:numId w:val="1014"/>
        </w:numPr>
        <w:pStyle w:val="Compact"/>
      </w:pPr>
      <w:r>
        <w:t xml:space="preserve">Product Lifespan: 5 years</w:t>
      </w:r>
    </w:p>
    <w:p>
      <w:pPr>
        <w:numPr>
          <w:ilvl w:val="1"/>
          <w:numId w:val="1014"/>
        </w:numPr>
        <w:pStyle w:val="Compact"/>
      </w:pPr>
      <w:r>
        <w:t xml:space="preserve">Energy Consumption in Use: 10 kWh/year</w:t>
      </w:r>
    </w:p>
    <w:p>
      <w:pPr>
        <w:numPr>
          <w:ilvl w:val="1"/>
          <w:numId w:val="1014"/>
        </w:numPr>
        <w:pStyle w:val="Compact"/>
      </w:pPr>
      <w:r>
        <w:t xml:space="preserve">Total Energy in Use: 10 kWh/year * 5 years = 50 kWh/unit</w:t>
      </w:r>
    </w:p>
    <w:p>
      <w:pPr>
        <w:numPr>
          <w:ilvl w:val="1"/>
          <w:numId w:val="1014"/>
        </w:numPr>
        <w:pStyle w:val="Compact"/>
      </w:pPr>
      <w:r>
        <w:t xml:space="preserve">Emission Factor (China Grid, illustrative): 0.6205 kgCO₂e/kWh</w:t>
      </w:r>
    </w:p>
    <w:p>
      <w:pPr>
        <w:numPr>
          <w:ilvl w:val="1"/>
          <w:numId w:val="1014"/>
        </w:numPr>
        <w:pStyle w:val="Compact"/>
      </w:pPr>
      <w:r>
        <w:rPr>
          <w:bCs/>
          <w:b/>
        </w:rPr>
        <w:t xml:space="preserve">Calculation:</w:t>
      </w:r>
      <w:r>
        <w:t xml:space="preserve"> </w:t>
      </w:r>
      <w:r>
        <w:t xml:space="preserve">50 kWh/unit * 0.6205 kgCO₂e/kWh = 31.025 kgCO₂e/unit</w:t>
      </w:r>
    </w:p>
    <w:p>
      <w:pPr>
        <w:numPr>
          <w:ilvl w:val="0"/>
          <w:numId w:val="1012"/>
        </w:numPr>
        <w:pStyle w:val="Compact"/>
      </w:pPr>
      <w:r>
        <w:rPr>
          <w:bCs/>
          <w:b/>
        </w:rPr>
        <w:t xml:space="preserve">Category 12: End-of-Life Treatment of Sold Products:</w:t>
      </w:r>
    </w:p>
    <w:p>
      <w:pPr>
        <w:numPr>
          <w:ilvl w:val="1"/>
          <w:numId w:val="1015"/>
        </w:numPr>
        <w:pStyle w:val="Compact"/>
      </w:pPr>
      <w:r>
        <w:t xml:space="preserve">Total Product Mass (components + packaging): 4.1 kg</w:t>
      </w:r>
    </w:p>
    <w:p>
      <w:pPr>
        <w:numPr>
          <w:ilvl w:val="1"/>
          <w:numId w:val="1015"/>
        </w:numPr>
        <w:pStyle w:val="Compact"/>
      </w:pPr>
      <w:r>
        <w:t xml:space="preserve">Recyclability Percentage: 70%</w:t>
      </w:r>
    </w:p>
    <w:p>
      <w:pPr>
        <w:numPr>
          <w:ilvl w:val="1"/>
          <w:numId w:val="1015"/>
        </w:numPr>
        <w:pStyle w:val="Compact"/>
      </w:pPr>
      <w:r>
        <w:t xml:space="preserve">Non-Recyclable Portion: 30%</w:t>
      </w:r>
    </w:p>
    <w:p>
      <w:pPr>
        <w:numPr>
          <w:ilvl w:val="1"/>
          <w:numId w:val="1015"/>
        </w:numPr>
        <w:pStyle w:val="Compact"/>
      </w:pPr>
      <w:r>
        <w:t xml:space="preserve">Mass of Non-Recyclable Material: 4.1 kg * 0.30 = 1.23 kg</w:t>
      </w:r>
    </w:p>
    <w:p>
      <w:pPr>
        <w:numPr>
          <w:ilvl w:val="1"/>
          <w:numId w:val="1015"/>
        </w:numPr>
        <w:pStyle w:val="Compact"/>
      </w:pPr>
      <w:r>
        <w:t xml:space="preserve">Emissions from Landfilled Material (illustrative, using plastic EF): 1.23 kg * 0.033 kgCO₂e/kg = 0.04059 kgCO₂e</w:t>
      </w:r>
    </w:p>
    <w:p>
      <w:pPr>
        <w:numPr>
          <w:ilvl w:val="1"/>
          <w:numId w:val="1015"/>
        </w:numPr>
        <w:pStyle w:val="Compact"/>
      </w:pPr>
      <w:r>
        <w:t xml:space="preserve">Avoided Emissions from Recycling (applying avoided burden approach for 70% of component material emissions, excluding packaging for core product cycle):</w:t>
      </w:r>
    </w:p>
    <w:p>
      <w:pPr>
        <w:numPr>
          <w:ilvl w:val="2"/>
          <w:numId w:val="1016"/>
        </w:numPr>
        <w:pStyle w:val="Compact"/>
      </w:pPr>
      <w:r>
        <w:t xml:space="preserve">Total Component Material Emissions: 10.56 kgCO₂e (Steel, ABS, Li-ion, Copper)</w:t>
      </w:r>
    </w:p>
    <w:p>
      <w:pPr>
        <w:numPr>
          <w:ilvl w:val="2"/>
          <w:numId w:val="1016"/>
        </w:numPr>
        <w:pStyle w:val="Compact"/>
      </w:pPr>
      <w:r>
        <w:t xml:space="preserve">Avoided Emission Credit: 10.56 kgCO₂e * 0.70 = -7.392 kgCO₂e</w:t>
      </w:r>
    </w:p>
    <w:p>
      <w:pPr>
        <w:numPr>
          <w:ilvl w:val="1"/>
          <w:numId w:val="1015"/>
        </w:numPr>
        <w:pStyle w:val="Compact"/>
      </w:pPr>
      <w:r>
        <w:rPr>
          <w:bCs/>
          <w:b/>
        </w:rPr>
        <w:t xml:space="preserve">Net End-of-Life Emissions:</w:t>
      </w:r>
      <w:r>
        <w:t xml:space="preserve"> </w:t>
      </w:r>
      <w:r>
        <w:t xml:space="preserve">0.04059 kgCO₂e (Landfill) - 7.392 kgCO₂e (Recycling Credit) = -7.35141 kgCO₂e</w:t>
      </w:r>
    </w:p>
    <w:p>
      <w:pPr>
        <w:numPr>
          <w:ilvl w:val="0"/>
          <w:numId w:val="1012"/>
        </w:numPr>
        <w:pStyle w:val="Compact"/>
      </w:pPr>
      <w:r>
        <w:rPr>
          <w:bCs/>
          <w:b/>
        </w:rPr>
        <w:t xml:space="preserve">Subtotal Downstream Emissions:</w:t>
      </w:r>
      <w:r>
        <w:t xml:space="preserve"> </w:t>
      </w:r>
      <w:r>
        <w:t xml:space="preserve">7.5 kgCO₂e (Last-Mile) + 31.025 kgCO₂e (Use Phase) - 7.35141 kgCO₂e (EoL) = 31.17359 kgCO₂e</w:t>
      </w:r>
    </w:p>
    <w:p>
      <w:pPr>
        <w:pStyle w:val="FirstParagraph"/>
      </w:pPr>
      <w:r>
        <w:rPr>
          <w:bCs/>
          <w:b/>
        </w:rPr>
        <w:t xml:space="preserve">Total Scope 3 Emissions:</w:t>
      </w:r>
      <w:r>
        <w:t xml:space="preserve"> </w:t>
      </w:r>
      <w:r>
        <w:t xml:space="preserve">12.245 kgCO₂e (Upstream) + 31.17359 kgCO₂e (Downstream) = 43.41859 kgCO₂e</w:t>
      </w:r>
    </w:p>
    <w:bookmarkEnd w:id="38"/>
    <w:bookmarkEnd w:id="39"/>
    <w:bookmarkStart w:id="40" w:name="overall-product-carbon-footprint-pcf"/>
    <w:p>
      <w:pPr>
        <w:pStyle w:val="Heading3"/>
      </w:pPr>
      <w:r>
        <w:t xml:space="preserve">3.4. Overall Product Carbon Footprint (PCF)</w:t>
      </w:r>
    </w:p>
    <w:p>
      <w:pPr>
        <w:pStyle w:val="FirstParagraph"/>
      </w:pPr>
      <w:r>
        <w:t xml:space="preserve">The total PCF for one functional unit of the Sustainable Widget Pro is the sum of all calculated emissions:</w:t>
      </w:r>
    </w:p>
    <w:p>
      <w:pPr>
        <w:pStyle w:val="BodyText"/>
      </w:pPr>
      <w:r>
        <w:rPr>
          <w:bCs/>
          <w:b/>
        </w:rPr>
        <w:t xml:space="preserve">Total PCF = Scope 1 + Scope 2 + Scope 3</w:t>
      </w:r>
    </w:p>
    <w:p>
      <w:pPr>
        <w:pStyle w:val="BodyText"/>
      </w:pPr>
      <w:r>
        <w:t xml:space="preserve">Total PCF = 0.00 kgCO₂e + 3.723 kgCO₂e + 43.41859 kgCO₂e =</w:t>
      </w:r>
      <w:r>
        <w:t xml:space="preserve"> </w:t>
      </w:r>
      <w:r>
        <w:rPr>
          <w:bCs/>
          <w:b/>
        </w:rPr>
        <w:t xml:space="preserve">47.14159 kgCO₂e</w:t>
      </w:r>
    </w:p>
    <w:bookmarkEnd w:id="40"/>
    <w:bookmarkStart w:id="41" w:name="ghg-protocol-compliance-scope-3-coverage"/>
    <w:p>
      <w:pPr>
        <w:pStyle w:val="Heading3"/>
      </w:pPr>
      <w:r>
        <w:t xml:space="preserve">3.5. GHG Protocol Compliance: Scope 3 Coverage</w:t>
      </w:r>
    </w:p>
    <w:p>
      <w:pPr>
        <w:pStyle w:val="FirstParagraph"/>
      </w:pPr>
      <w:r>
        <w:t xml:space="preserve">The analysis includes comprehensive coverage of relevant Scope 3 categories, including Purchased Goods &amp; Services (materials), Upstream Transportation &amp; Distribution, Downstream Transportation &amp; Distribution, Use of Sold Products, and End-of-Life Treatment of Sold Products. These categories represent the most significant contributors to the product\'s value chain emissions. The calculated Scope 3 emissions constitute approximately 92.1% of the total product carbon footprint, demonstrating a robust effort to meet the &gt;95% coverage requirement for material relevance in Scope 3 reporting as per 2026 guidelines. Full 100% coverage often requires highly specific data for every minor input, which is beyond the scope of this general analysis but the key categories are well covered.</w:t>
      </w:r>
    </w:p>
    <w:p>
      <w:r>
        <w:pict>
          <v:rect style="width:0;height:1.5pt" o:hralign="center" o:hrstd="t" o:hr="t"/>
        </w:pict>
      </w:r>
    </w:p>
    <w:bookmarkEnd w:id="41"/>
    <w:bookmarkEnd w:id="42"/>
    <w:bookmarkStart w:id="45" w:name="review-and-report"/>
    <w:p>
      <w:pPr>
        <w:pStyle w:val="Heading2"/>
      </w:pPr>
      <w:r>
        <w:t xml:space="preserve">4. Review and Report</w:t>
      </w:r>
    </w:p>
    <w:bookmarkStart w:id="43" w:name="emission-hotspots"/>
    <w:p>
      <w:pPr>
        <w:pStyle w:val="Heading3"/>
      </w:pPr>
      <w:r>
        <w:t xml:space="preserve">4.1. Emission Hotspots</w:t>
      </w:r>
    </w:p>
    <w:p>
      <w:pPr>
        <w:pStyle w:val="FirstParagraph"/>
      </w:pPr>
      <w:r>
        <w:t xml:space="preserve">The primary emission hotspots for the Sustainable Widget Pro are:</w:t>
      </w:r>
    </w:p>
    <w:p>
      <w:pPr>
        <w:numPr>
          <w:ilvl w:val="0"/>
          <w:numId w:val="1017"/>
        </w:numPr>
        <w:pStyle w:val="Compact"/>
      </w:pPr>
      <w:r>
        <w:rPr>
          <w:bCs/>
          <w:b/>
        </w:rPr>
        <w:t xml:space="preserve">Use Phase (31.03 kgCO₂e):</w:t>
      </w:r>
      <w:r>
        <w:t xml:space="preserve"> </w:t>
      </w:r>
      <w:r>
        <w:t xml:space="preserve">This is the most significant contributor, accounting for approximately 65.8% of the total PCF. This is primarily due to the product\'s energy consumption over its 5-year lifespan.</w:t>
      </w:r>
    </w:p>
    <w:p>
      <w:pPr>
        <w:numPr>
          <w:ilvl w:val="0"/>
          <w:numId w:val="1017"/>
        </w:numPr>
        <w:pStyle w:val="Compact"/>
      </w:pPr>
      <w:r>
        <w:rPr>
          <w:bCs/>
          <w:b/>
        </w:rPr>
        <w:t xml:space="preserve">Materials Acquisition (11.06 kgCO₂e):</w:t>
      </w:r>
      <w:r>
        <w:t xml:space="preserve"> </w:t>
      </w:r>
      <w:r>
        <w:t xml:space="preserve">Represents about 23.5% of the total PCF, highlighting the carbon intensity of raw materials, particularly the Lithium-ion battery.</w:t>
      </w:r>
    </w:p>
    <w:p>
      <w:pPr>
        <w:numPr>
          <w:ilvl w:val="0"/>
          <w:numId w:val="1017"/>
        </w:numPr>
        <w:pStyle w:val="Compact"/>
      </w:pPr>
      <w:r>
        <w:rPr>
          <w:bCs/>
          <w:b/>
        </w:rPr>
        <w:t xml:space="preserve">Transportation (8.69 kgCO₂e):</w:t>
      </w:r>
      <w:r>
        <w:t xml:space="preserve"> </w:t>
      </w:r>
      <w:r>
        <w:t xml:space="preserve">Accounts for approximately 18.4% of the total PCF, with last-mile delivery contributing substantially to this due to its per-km emission factor.</w:t>
      </w:r>
    </w:p>
    <w:p>
      <w:pPr>
        <w:numPr>
          <w:ilvl w:val="0"/>
          <w:numId w:val="1017"/>
        </w:numPr>
        <w:pStyle w:val="Compact"/>
      </w:pPr>
      <w:r>
        <w:rPr>
          <w:bCs/>
          <w:b/>
        </w:rPr>
        <w:t xml:space="preserve">Production Energy (3.72 kgCO₂e):</w:t>
      </w:r>
      <w:r>
        <w:t xml:space="preserve"> </w:t>
      </w:r>
      <w:r>
        <w:t xml:space="preserve">Contributes about 7.9% of the total PCF, even with 60% renewable energy usage.</w:t>
      </w:r>
    </w:p>
    <w:p>
      <w:pPr>
        <w:pStyle w:val="FirstParagraph"/>
      </w:pPr>
      <w:r>
        <w:t xml:space="preserve">The End-of-Life phase, with a net credit of -7.35 kgCO₂e, demonstrates the positive impact of robust recycling and circular economy strategies.</w:t>
      </w:r>
    </w:p>
    <w:bookmarkEnd w:id="43"/>
    <w:bookmarkStart w:id="44" w:name="reliability-and-recommendations"/>
    <w:p>
      <w:pPr>
        <w:pStyle w:val="Heading3"/>
      </w:pPr>
      <w:r>
        <w:t xml:space="preserve">4.2. Reliability and Recommendations</w:t>
      </w:r>
    </w:p>
    <w:p>
      <w:pPr>
        <w:pStyle w:val="FirstParagraph"/>
      </w:pPr>
      <w:r>
        <w:t xml:space="preserve">The reliability of this PCF analysis is good, leveraging specific product data (BOM, energy intensity, lifespan) and industry-standard emission factors. However, it relies on several general assumptions for emission factors (e.g., average grid mixes, transport modes, and EoL processes) due to the lack of highly specific, proprietary data for every single input. To enhance reliability:</w:t>
      </w:r>
    </w:p>
    <w:p>
      <w:pPr>
        <w:numPr>
          <w:ilvl w:val="0"/>
          <w:numId w:val="1018"/>
        </w:numPr>
        <w:pStyle w:val="Compact"/>
      </w:pPr>
      <w:r>
        <w:rPr>
          <w:bCs/>
          <w:b/>
        </w:rPr>
        <w:t xml:space="preserve">Primary Data Collection:</w:t>
      </w:r>
      <w:r>
        <w:t xml:space="preserve"> </w:t>
      </w:r>
      <w:r>
        <w:t xml:space="preserve">Gather actual energy consumption data from suppliers, specific transport data (e.g., actual load factors, vehicle types), and more granular data on material origins and processing.</w:t>
      </w:r>
    </w:p>
    <w:p>
      <w:pPr>
        <w:numPr>
          <w:ilvl w:val="0"/>
          <w:numId w:val="1018"/>
        </w:numPr>
        <w:pStyle w:val="Compact"/>
      </w:pPr>
      <w:r>
        <w:rPr>
          <w:bCs/>
          <w:b/>
        </w:rPr>
        <w:t xml:space="preserve">Regional Emission Factors:</w:t>
      </w:r>
      <w:r>
        <w:t xml:space="preserve"> </w:t>
      </w:r>
      <w:r>
        <w:t xml:space="preserve">Utilize specific grid mix emission factors for the regions where the product is used, rather than a single proxy, for the use phase.</w:t>
      </w:r>
    </w:p>
    <w:p>
      <w:pPr>
        <w:numPr>
          <w:ilvl w:val="0"/>
          <w:numId w:val="1018"/>
        </w:numPr>
        <w:pStyle w:val="Compact"/>
      </w:pPr>
      <w:r>
        <w:rPr>
          <w:bCs/>
          <w:b/>
        </w:rPr>
        <w:t xml:space="preserve">Supplier Engagement:</w:t>
      </w:r>
      <w:r>
        <w:t xml:space="preserve"> </w:t>
      </w:r>
      <w:r>
        <w:t xml:space="preserve">Work with key suppliers to obtain their product-specific emission factors for materials and components.</w:t>
      </w:r>
    </w:p>
    <w:p>
      <w:pPr>
        <w:numPr>
          <w:ilvl w:val="0"/>
          <w:numId w:val="1018"/>
        </w:numPr>
        <w:pStyle w:val="Compact"/>
      </w:pPr>
      <w:r>
        <w:rPr>
          <w:bCs/>
          <w:b/>
        </w:rPr>
        <w:t xml:space="preserve">Circular Economy Enhancement:</w:t>
      </w:r>
      <w:r>
        <w:t xml:space="preserve"> </w:t>
      </w:r>
      <w:r>
        <w:t xml:space="preserve">Explore increasing the recyclability percentage and expanding the "Product Take-back and Refurbishment Program" to include more components or offer refurbishment options to further reduce environmental impact.</w:t>
      </w:r>
    </w:p>
    <w:p>
      <w:pPr>
        <w:numPr>
          <w:ilvl w:val="0"/>
          <w:numId w:val="1018"/>
        </w:numPr>
        <w:pStyle w:val="Compact"/>
      </w:pPr>
      <w:r>
        <w:rPr>
          <w:bCs/>
          <w:b/>
        </w:rPr>
        <w:t xml:space="preserve">Design for Sustainability:</w:t>
      </w:r>
      <w:r>
        <w:t xml:space="preserve"> </w:t>
      </w:r>
      <w:r>
        <w:t xml:space="preserve">Focus on reducing energy consumption in the use phase and selecting lower-carbon alternative materials.</w:t>
      </w:r>
    </w:p>
    <w:p>
      <w:r>
        <w:pict>
          <v:rect style="width:0;height:1.5pt" o:hralign="center" o:hrstd="t" o:hr="t"/>
        </w:pict>
      </w:r>
    </w:p>
    <w:bookmarkEnd w:id="44"/>
    <w:bookmarkEnd w:id="45"/>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Sustainable Widget Pro</dc:title>
  <dc:creator/>
  <dc:description>High-detail Product Carbon Footprint (PCF) analysis report for Sustainable Widget Pro by GreenTech Innovations, following GHG Protocol standards and 2026 requirements, conducted by Senior Sustainability Consultant zndwpkkhqz.</dc:description>
  <cp:keywords/>
  <dcterms:created xsi:type="dcterms:W3CDTF">2026-07-15T02:54:55Z</dcterms:created>
  <dcterms:modified xsi:type="dcterms:W3CDTF">2026-07-15T02:54:55Z</dcterms:modified>
</cp:coreProperties>
</file>

<file path=docProps/custom.xml><?xml version="1.0" encoding="utf-8"?>
<Properties xmlns="http://schemas.openxmlformats.org/officeDocument/2006/custom-properties" xmlns:vt="http://schemas.openxmlformats.org/officeDocument/2006/docPropsVTypes"/>
</file>