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srpnwfqkeo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srpnwfqkeo</w:t>
      </w:r>
    </w:p>
    <w:p>
      <w:pPr>
        <w:pStyle w:val="BodyText"/>
      </w:pPr>
      <w:r>
        <w:t xml:space="preserve">**Company Name:** djhujrwslz</w:t>
      </w:r>
    </w:p>
    <w:p>
      <w:pPr>
        <w:pStyle w:val="BodyText"/>
      </w:pPr>
      <w:r>
        <w:t xml:space="preserve">**Accounting Standard:** GHG Protocol</w:t>
      </w:r>
    </w:p>
    <w:p>
      <w:pPr>
        <w:pStyle w:val="BodyText"/>
      </w:pPr>
      <w:r>
        <w:t xml:space="preserve">**Senior Sustainability Consultant:** nympwrtmlo</w:t>
      </w:r>
    </w:p>
    <w:p>
      <w:pPr>
        <w:pStyle w:val="BodyText"/>
      </w:pPr>
      <w:r>
        <w:t xml:space="preserve">This report is generated based on available data and industry standards. While every effort has been made to ensure accuracy, specific conditions and evolving data may lead to variations in actual impact.</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srpnwfqkeo</w:t>
      </w:r>
      <w:r>
        <w:t xml:space="preserve">, manufactured by</w:t>
      </w:r>
      <w:r>
        <w:t xml:space="preserve"> </w:t>
      </w:r>
      <w:r>
        <w:rPr>
          <w:bCs/>
          <w:b/>
        </w:rPr>
        <w:t xml:space="preserve">djhujrwslz</w:t>
      </w:r>
      <w:r>
        <w:t xml:space="preserve">. The analysis, conducted by Senior Sustainability Consultant</w:t>
      </w:r>
      <w:r>
        <w:t xml:space="preserve"> </w:t>
      </w:r>
      <w:r>
        <w:rPr>
          <w:bCs/>
          <w:b/>
        </w:rPr>
        <w:t xml:space="preserve">nympwrtmlo</w:t>
      </w:r>
      <w:r>
        <w:t xml:space="preserve">, adheres strictly to the GHG Protocol, including the 2026 Land Sector and Removals (LSR) Standard update and ensuring at least 95% Scope 3 coverage. The primary goal is to quantify greenhouse gas emissions across the product\'s lifecycle, identify key hotspots, and provide actionable insights for emission reduction strategies. The functional unit for this analysis is 1.0 unit of srpnwfqkeo, with a system boundary of \'factory_gate\' for direct production emissions, and a full cradle-to-grave scope for the overall PCF, encompassing raw material acquisition, manufacturing, transportation, use, and end-of-life phases.</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This Product Carbon Footprint (PCF) analysis is conducted following the five key steps of lifecycle assessment, with strict adherence to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srpnwfqkeo.</w:t>
      </w:r>
    </w:p>
    <w:p>
      <w:pPr>
        <w:numPr>
          <w:ilvl w:val="0"/>
          <w:numId w:val="1001"/>
        </w:numPr>
        <w:pStyle w:val="Compact"/>
      </w:pPr>
      <w:r>
        <w:rPr>
          <w:bCs/>
          <w:b/>
        </w:rPr>
        <w:t xml:space="preserve">System Boundary:</w:t>
      </w:r>
      <w:r>
        <w:t xml:space="preserve"> </w:t>
      </w:r>
      <w:r>
        <w:t xml:space="preserve">Cradle-to-grave, encompassing raw material extraction and processing, manufacturing at the factory gate, transportation to market, product use phase, and end-of-life treatment. The primary production boundary is \'factory_gate\' in China, with subsequent stages extending to Europe.</w:t>
      </w:r>
    </w:p>
    <w:p>
      <w:pPr>
        <w:numPr>
          <w:ilvl w:val="0"/>
          <w:numId w:val="1001"/>
        </w:numPr>
        <w:pStyle w:val="Compact"/>
      </w:pPr>
      <w:r>
        <w:rPr>
          <w:bCs/>
          <w:b/>
        </w:rPr>
        <w:t xml:space="preserve">Geographic Scope:</w:t>
      </w:r>
      <w:r>
        <w:t xml:space="preserve"> </w:t>
      </w:r>
      <w:r>
        <w:t xml:space="preserve">Final production in China, with a supply chain focus primarily on Europe for downstream distribution and use.</w:t>
      </w:r>
    </w:p>
    <w:p>
      <w:pPr>
        <w:numPr>
          <w:ilvl w:val="0"/>
          <w:numId w:val="1001"/>
        </w:numPr>
        <w:pStyle w:val="Compact"/>
      </w:pPr>
      <w:r>
        <w:rPr>
          <w:bCs/>
          <w:b/>
        </w:rPr>
        <w:t xml:space="preserve">Allocation:</w:t>
      </w:r>
      <w:r>
        <w:t xml:space="preserve"> </w:t>
      </w:r>
      <w:r>
        <w:t xml:space="preserve">Mass-based allocation is applied where co-products or by-products are identified, ensuring that environmental burdens are appropriately distributed.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 Product Standard</w:t>
      </w:r>
      <w:r>
        <w:t xml:space="preserve">, categorizing emissions into Scope 1 (direct emissions), Scope 2 (indirect emissions from purchased energy), and Scope 3 (all other indirect emissions across the value chain).</w:t>
      </w:r>
    </w:p>
    <w:bookmarkEnd w:id="22"/>
    <w:bookmarkStart w:id="23" w:name="map-lifecycle-lci-inventory-stages"/>
    <w:p>
      <w:pPr>
        <w:pStyle w:val="Heading3"/>
      </w:pPr>
      <w:r>
        <w:t xml:space="preserve">1.2. Map Lifecycle (LCI Inventory Stages)</w:t>
      </w:r>
    </w:p>
    <w:p>
      <w:pPr>
        <w:pStyle w:val="FirstParagraph"/>
      </w:pPr>
      <w:r>
        <w:t xml:space="preserve">The lifecycle of srpnwfqkeo is mapped across the following stages, facilitating a comprehensive inventory of inputs and outputs:</w:t>
      </w:r>
    </w:p>
    <w:p>
      <w:pPr>
        <w:numPr>
          <w:ilvl w:val="0"/>
          <w:numId w:val="1002"/>
        </w:numPr>
        <w:pStyle w:val="Compact"/>
      </w:pPr>
      <w:r>
        <w:rPr>
          <w:bCs/>
          <w:b/>
        </w:rPr>
        <w:t xml:space="preserve">Material Acquisition &amp; Pre-processing:</w:t>
      </w:r>
      <w:r>
        <w:t xml:space="preserve"> </w:t>
      </w:r>
      <w:r>
        <w:t xml:space="preserve">Extraction, processing, and manufacturing of all raw materials as detailed in the Bill of Materials.</w:t>
      </w:r>
    </w:p>
    <w:p>
      <w:pPr>
        <w:numPr>
          <w:ilvl w:val="0"/>
          <w:numId w:val="1002"/>
        </w:numPr>
        <w:pStyle w:val="Compact"/>
      </w:pPr>
      <w:r>
        <w:rPr>
          <w:bCs/>
          <w:b/>
        </w:rPr>
        <w:t xml:space="preserve">Manufacturing (Production):</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Transportation &amp; Distribution:</w:t>
      </w:r>
      <w:r>
        <w:t xml:space="preserve"> </w:t>
      </w:r>
      <w:r>
        <w:t xml:space="preserve">Movement of raw materials to the factory, and finished products from the factory to the end-user (Ocean Freight and Road Transport).</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and potential circular economy impacts.</w:t>
      </w:r>
    </w:p>
    <w:bookmarkEnd w:id="23"/>
    <w:bookmarkStart w:id="24" w:name="Xb57f50a89bf1f3f1837369be949d9d60d6c1272"/>
    <w:p>
      <w:pPr>
        <w:pStyle w:val="Heading3"/>
      </w:pPr>
      <w:r>
        <w:t xml:space="preserve">1.3. Collect Data (Primary/Secondary Data Points)</w:t>
      </w:r>
    </w:p>
    <w:p>
      <w:pPr>
        <w:pStyle w:val="FirstParagraph"/>
      </w:pPr>
      <w:r>
        <w:t xml:space="preserve">A hybrid approach combining primary and secondary data sources ensures high accuracy for this PCF. Specific parameters provided for this analysis are integrated directly:</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rPr>
          <w:rStyle w:val="VerbatimChar"/>
        </w:rPr>
        <w:t xml:space="preserve">uwupneks</w:t>
      </w:r>
      <w:r>
        <w:t xml:space="preserve"> </w:t>
      </w:r>
      <w:r>
        <w:t xml:space="preserve">(illustrative data used as per prompt).</w:t>
      </w:r>
    </w:p>
    <w:p>
      <w:pPr>
        <w:numPr>
          <w:ilvl w:val="1"/>
          <w:numId w:val="1004"/>
        </w:numPr>
        <w:pStyle w:val="Compact"/>
      </w:pPr>
      <w:r>
        <w:rPr>
          <w:bCs/>
          <w:b/>
        </w:rPr>
        <w:t xml:space="preserve">Transport Mode &amp; Distance:</w:t>
      </w:r>
      <w:r>
        <w:t xml:space="preserve"> </w:t>
      </w:r>
      <w:r>
        <w:rPr>
          <w:rStyle w:val="VerbatimChar"/>
        </w:rPr>
        <w:t xml:space="preserve">Select Mode</w:t>
      </w:r>
      <w:r>
        <w:t xml:space="preserve"> </w:t>
      </w:r>
      <w:r>
        <w:t xml:space="preserve">(Ocean Freight, Road Transport),</w:t>
      </w:r>
      <w:r>
        <w:t xml:space="preserve"> </w:t>
      </w:r>
      <w:r>
        <w:rPr>
          <w:rStyle w:val="VerbatimChar"/>
        </w:rPr>
        <w:t xml:space="preserve">lxnqthrurs</w:t>
      </w:r>
      <w:r>
        <w:t xml:space="preserve"> </w:t>
      </w:r>
      <w:r>
        <w:t xml:space="preserve">(15,000 km ocean, 500 km road).</w:t>
      </w:r>
    </w:p>
    <w:p>
      <w:pPr>
        <w:numPr>
          <w:ilvl w:val="1"/>
          <w:numId w:val="1004"/>
        </w:numPr>
        <w:pStyle w:val="Compact"/>
      </w:pPr>
      <w:r>
        <w:rPr>
          <w:bCs/>
          <w:b/>
        </w:rPr>
        <w:t xml:space="preserve">Last-Mile Delivery Channel:</w:t>
      </w:r>
      <w:r>
        <w:t xml:space="preserve"> </w:t>
      </w:r>
      <w:r>
        <w:rPr>
          <w:rStyle w:val="VerbatimChar"/>
        </w:rPr>
        <w:t xml:space="preserve">Delivery Type</w:t>
      </w:r>
      <w:r>
        <w:t xml:space="preserve"> </w:t>
      </w:r>
      <w:r>
        <w:t xml:space="preserve">(Parcel Delivery Service).</w:t>
      </w:r>
    </w:p>
    <w:p>
      <w:pPr>
        <w:numPr>
          <w:ilvl w:val="1"/>
          <w:numId w:val="1004"/>
        </w:numPr>
        <w:pStyle w:val="Compact"/>
      </w:pPr>
      <w:r>
        <w:rPr>
          <w:bCs/>
          <w:b/>
        </w:rPr>
        <w:t xml:space="preserve">Renewable Energy Usage:</w:t>
      </w:r>
      <w:r>
        <w:t xml:space="preserve"> </w:t>
      </w:r>
      <w:r>
        <w:rPr>
          <w:rStyle w:val="VerbatimChar"/>
        </w:rPr>
        <w:t xml:space="preserve">ugevkoiveo</w:t>
      </w:r>
      <w:r>
        <w:t xml:space="preserve"> </w:t>
      </w:r>
      <w:r>
        <w:t xml:space="preserve">(50% renewable electricity in production).</w:t>
      </w:r>
    </w:p>
    <w:p>
      <w:pPr>
        <w:numPr>
          <w:ilvl w:val="1"/>
          <w:numId w:val="1004"/>
        </w:numPr>
        <w:pStyle w:val="Compact"/>
      </w:pPr>
      <w:r>
        <w:rPr>
          <w:bCs/>
          <w:b/>
        </w:rPr>
        <w:t xml:space="preserve">Energy Intensity (kWh/unit) in Production:</w:t>
      </w:r>
      <w:r>
        <w:t xml:space="preserve"> </w:t>
      </w:r>
      <w:r>
        <w:rPr>
          <w:rStyle w:val="VerbatimChar"/>
        </w:rPr>
        <w:t xml:space="preserve">nnnrndxqji</w:t>
      </w:r>
      <w:r>
        <w:t xml:space="preserve"> </w:t>
      </w:r>
      <w:r>
        <w:t xml:space="preserve">(10 kWh/unit).</w:t>
      </w:r>
    </w:p>
    <w:p>
      <w:pPr>
        <w:numPr>
          <w:ilvl w:val="1"/>
          <w:numId w:val="1004"/>
        </w:numPr>
        <w:pStyle w:val="Compact"/>
      </w:pPr>
      <w:r>
        <w:rPr>
          <w:bCs/>
          <w:b/>
        </w:rPr>
        <w:t xml:space="preserve">Product Lifespan:</w:t>
      </w:r>
      <w:r>
        <w:t xml:space="preserve"> </w:t>
      </w:r>
      <w:r>
        <w:rPr>
          <w:rStyle w:val="VerbatimChar"/>
        </w:rPr>
        <w:t xml:space="preserve">wzoilfidqf</w:t>
      </w:r>
      <w:r>
        <w:t xml:space="preserve"> </w:t>
      </w:r>
      <w:r>
        <w:t xml:space="preserve">(5 years).</w:t>
      </w:r>
    </w:p>
    <w:p>
      <w:pPr>
        <w:numPr>
          <w:ilvl w:val="1"/>
          <w:numId w:val="1004"/>
        </w:numPr>
        <w:pStyle w:val="Compact"/>
      </w:pPr>
      <w:r>
        <w:rPr>
          <w:bCs/>
          <w:b/>
        </w:rPr>
        <w:t xml:space="preserve">Energy Consumption in Use:</w:t>
      </w:r>
      <w:r>
        <w:t xml:space="preserve"> </w:t>
      </w:r>
      <w:r>
        <w:rPr>
          <w:rStyle w:val="VerbatimChar"/>
        </w:rPr>
        <w:t xml:space="preserve">rlxiydeqot</w:t>
      </w:r>
      <w:r>
        <w:t xml:space="preserve"> </w:t>
      </w:r>
      <w:r>
        <w:t xml:space="preserve">(50 kWh/year).</w:t>
      </w:r>
    </w:p>
    <w:p>
      <w:pPr>
        <w:numPr>
          <w:ilvl w:val="1"/>
          <w:numId w:val="1004"/>
        </w:numPr>
        <w:pStyle w:val="Compact"/>
      </w:pPr>
      <w:r>
        <w:rPr>
          <w:bCs/>
          <w:b/>
        </w:rPr>
        <w:t xml:space="preserve">Recyclability Percentage:</w:t>
      </w:r>
      <w:r>
        <w:t xml:space="preserve"> </w:t>
      </w:r>
      <w:r>
        <w:rPr>
          <w:rStyle w:val="VerbatimChar"/>
        </w:rPr>
        <w:t xml:space="preserve">vxzrhxxdtw</w:t>
      </w:r>
      <w:r>
        <w:t xml:space="preserve"> </w:t>
      </w:r>
      <w:r>
        <w:t xml:space="preserve">(70%).</w:t>
      </w:r>
    </w:p>
    <w:p>
      <w:pPr>
        <w:numPr>
          <w:ilvl w:val="1"/>
          <w:numId w:val="1004"/>
        </w:numPr>
        <w:pStyle w:val="Compact"/>
      </w:pPr>
      <w:r>
        <w:rPr>
          <w:bCs/>
          <w:b/>
        </w:rPr>
        <w:t xml:space="preserve">Circular/Take-back Programs:</w:t>
      </w:r>
      <w:r>
        <w:t xml:space="preserve"> </w:t>
      </w:r>
      <w:r>
        <w:rPr>
          <w:rStyle w:val="VerbatimChar"/>
        </w:rPr>
        <w:t xml:space="preserve">pxuwtwnmok</w:t>
      </w:r>
      <w:r>
        <w:t xml:space="preserve"> </w:t>
      </w:r>
      <w:r>
        <w:t xml:space="preserve">(Product take-back and refurbishment program in place for 20% of returned units).</w:t>
      </w:r>
    </w:p>
    <w:p>
      <w:pPr>
        <w:numPr>
          <w:ilvl w:val="0"/>
          <w:numId w:val="1003"/>
        </w:numPr>
        <w:pStyle w:val="Compact"/>
      </w:pPr>
      <w:r>
        <w:rPr>
          <w:bCs/>
          <w:b/>
        </w:rPr>
        <w:t xml:space="preserve">Secondary Data:</w:t>
      </w:r>
      <w:r>
        <w:t xml:space="preserve"> </w:t>
      </w:r>
      <w:r>
        <w:t xml:space="preserve">Industry-standard emission factors are applied, primarily referencing databases like Ecoinvent and DEFRA/BEIS for materials, energy grids, and transport. Specific factors are detailed in the calculation section.</w:t>
      </w:r>
    </w:p>
    <w:p>
      <w:r>
        <w:pict>
          <v:rect style="width:0;height:1.5pt" o:hralign="center" o:hrstd="t" o:hr="t"/>
        </w:pict>
      </w:r>
    </w:p>
    <w:bookmarkEnd w:id="24"/>
    <w:bookmarkEnd w:id="25"/>
    <w:bookmarkStart w:id="28" w:name="X375f90d34e2738bf774185f3c83efd090ce459a"/>
    <w:p>
      <w:pPr>
        <w:pStyle w:val="Heading2"/>
      </w:pPr>
      <w:r>
        <w:t xml:space="preserve">2. Detailed Breakdown of Materials and Energy Inputs</w:t>
      </w:r>
    </w:p>
    <w:bookmarkStart w:id="26" w:name="bill-of-materials-bom-for-srpnwfqkeo"/>
    <w:p>
      <w:pPr>
        <w:pStyle w:val="Heading3"/>
      </w:pPr>
      <w:r>
        <w:t xml:space="preserve">2.1. Bill of Materials (BOM) for srpnwfqkeo</w:t>
      </w:r>
    </w:p>
    <w:p>
      <w:pPr>
        <w:pStyle w:val="FirstParagraph"/>
      </w:pPr>
      <w:r>
        <w:t xml:space="preserve">The following detailed Bill of Materials (BOM) for</w:t>
      </w:r>
      <w:r>
        <w:t xml:space="preserve"> </w:t>
      </w:r>
      <w:r>
        <w:rPr>
          <w:bCs/>
          <w:b/>
        </w:rPr>
        <w:t xml:space="preserve">srpnwfqkeo</w:t>
      </w:r>
      <w:r>
        <w:t xml:space="preserve"> </w:t>
      </w:r>
      <w:r>
        <w:t xml:space="preserve">is used for high-accuracy material impact calculation. Emission factors are illustrative, based on industry averages and reputable databases, applied per unit of material. Note: \'Total Carbon\' reflects the cradle-to-gate emissions of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Raw Material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Polymer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Metal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rPr>
                <w:bCs/>
                <w:b/>
              </w:rPr>
              <w:t xml:space="preserve">Total Material Carbon (kg CO2e):</w:t>
            </w:r>
          </w:p>
        </w:tc>
        <w:tc>
          <w:tcPr/>
          <w:p>
            <w:pPr>
              <w:pStyle w:val="Compact"/>
              <w:jc w:val="left"/>
            </w:pPr>
            <w:r>
              <w:rPr>
                <w:bCs/>
                <w:b/>
              </w:rPr>
              <w:t xml:space="preserve">4.025</w:t>
            </w:r>
          </w:p>
        </w:tc>
      </w:tr>
    </w:tbl>
    <w:bookmarkEnd w:id="26"/>
    <w:bookmarkStart w:id="27" w:name="X623a20791ed85b8d984572c44b69667b3b32e48"/>
    <w:p>
      <w:pPr>
        <w:pStyle w:val="Heading3"/>
      </w:pPr>
      <w:r>
        <w:t xml:space="preserve">2.2. Energy Inputs in Production (Manufacturing Phase)</w:t>
      </w:r>
    </w:p>
    <w:p>
      <w:pPr>
        <w:pStyle w:val="FirstParagraph"/>
      </w:pPr>
      <w:r>
        <w:t xml:space="preserve">The energy consumption during the manufacturing phase for</w:t>
      </w:r>
      <w:r>
        <w:t xml:space="preserve"> </w:t>
      </w:r>
      <w:r>
        <w:rPr>
          <w:bCs/>
          <w:b/>
        </w:rPr>
        <w:t xml:space="preserve">srpnwfqkeo</w:t>
      </w:r>
      <w:r>
        <w:t xml:space="preserve"> </w:t>
      </w:r>
      <w:r>
        <w:t xml:space="preserve">in China is analyzed considering the provided energy customization data:</w:t>
      </w:r>
    </w:p>
    <w:p>
      <w:pPr>
        <w:numPr>
          <w:ilvl w:val="0"/>
          <w:numId w:val="1005"/>
        </w:numPr>
        <w:pStyle w:val="Compact"/>
      </w:pPr>
      <w:r>
        <w:rPr>
          <w:bCs/>
          <w:b/>
        </w:rPr>
        <w:t xml:space="preserve">Energy Intensity:</w:t>
      </w:r>
      <w:r>
        <w:t xml:space="preserve"> </w:t>
      </w:r>
      <w:r>
        <w:t xml:space="preserve">10 kWh/unit [cite: nnnrndxqji]</w:t>
      </w:r>
    </w:p>
    <w:p>
      <w:pPr>
        <w:numPr>
          <w:ilvl w:val="0"/>
          <w:numId w:val="1005"/>
        </w:numPr>
        <w:pStyle w:val="Compact"/>
      </w:pPr>
      <w:r>
        <w:rPr>
          <w:bCs/>
          <w:b/>
        </w:rPr>
        <w:t xml:space="preserve">Renewable Energy Usage:</w:t>
      </w:r>
      <w:r>
        <w:t xml:space="preserve"> </w:t>
      </w:r>
      <w:r>
        <w:t xml:space="preserve">50% of electricity is from renewable sources [cite: ugevkoiveo].</w:t>
      </w:r>
    </w:p>
    <w:p>
      <w:pPr>
        <w:numPr>
          <w:ilvl w:val="0"/>
          <w:numId w:val="1005"/>
        </w:numPr>
        <w:pStyle w:val="Compact"/>
      </w:pPr>
      <w:r>
        <w:rPr>
          <w:bCs/>
          <w:b/>
        </w:rPr>
        <w:t xml:space="preserve">Non-Renewable Electricity (China Grid Mix):</w:t>
      </w:r>
      <w:r>
        <w:t xml:space="preserve"> </w:t>
      </w:r>
      <w:r>
        <w:t xml:space="preserve">50% of 10 kWh = 5 kWh/unit.</w:t>
      </w:r>
    </w:p>
    <w:p>
      <w:pPr>
        <w:numPr>
          <w:ilvl w:val="1"/>
          <w:numId w:val="1006"/>
        </w:numPr>
        <w:pStyle w:val="Compact"/>
      </w:pPr>
      <w:r>
        <w:t xml:space="preserve">Emission Factor (China Grid): ~0.7 kg CO2e/kWh (illustrative average from).</w:t>
      </w:r>
    </w:p>
    <w:p>
      <w:pPr>
        <w:numPr>
          <w:ilvl w:val="1"/>
          <w:numId w:val="1006"/>
        </w:numPr>
        <w:pStyle w:val="Compact"/>
      </w:pPr>
      <w:r>
        <w:t xml:space="preserve">Emissions: 5 kWh/unit * 0.7 kg CO2e/kWh = 3.5 kg CO2e/unit.</w:t>
      </w:r>
    </w:p>
    <w:p>
      <w:pPr>
        <w:numPr>
          <w:ilvl w:val="0"/>
          <w:numId w:val="1005"/>
        </w:numPr>
        <w:pStyle w:val="Compact"/>
      </w:pPr>
      <w:r>
        <w:rPr>
          <w:bCs/>
          <w:b/>
        </w:rPr>
        <w:t xml:space="preserve">Renewable Electricity:</w:t>
      </w:r>
      <w:r>
        <w:t xml:space="preserve"> </w:t>
      </w:r>
      <w:r>
        <w:t xml:space="preserve">5 kWh/unit * 0 kg CO2e/kWh = 0 kg CO2e/unit.</w:t>
      </w:r>
    </w:p>
    <w:p>
      <w:pPr>
        <w:pStyle w:val="FirstParagraph"/>
      </w:pPr>
      <w:r>
        <w:rPr>
          <w:bCs/>
          <w:b/>
        </w:rPr>
        <w:t xml:space="preserve">Total Manufacturing Energy Emissions:</w:t>
      </w:r>
      <w:r>
        <w:t xml:space="preserve"> </w:t>
      </w:r>
      <w:r>
        <w:t xml:space="preserve">3.5 kg CO2e/unit.</w:t>
      </w:r>
    </w:p>
    <w:p>
      <w:r>
        <w:pict>
          <v:rect style="width:0;height:1.5pt" o:hralign="center" o:hrstd="t" o:hr="t"/>
        </w:pict>
      </w:r>
    </w:p>
    <w:bookmarkEnd w:id="27"/>
    <w:bookmarkEnd w:id="28"/>
    <w:bookmarkStart w:id="38"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w:t>
      </w:r>
    </w:p>
    <w:bookmarkStart w:id="29" w:name="scope-1-emissions-direct-emissions"/>
    <w:p>
      <w:pPr>
        <w:pStyle w:val="Heading3"/>
      </w:pPr>
      <w:r>
        <w:t xml:space="preserve">3.1. Scope 1 Emissions (Direct Emissions)</w:t>
      </w:r>
    </w:p>
    <w:p>
      <w:pPr>
        <w:pStyle w:val="FirstParagraph"/>
      </w:pPr>
      <w:r>
        <w:t xml:space="preserve">For this \'factory_gate\' system boundary for direct emissions, Scope 1 includes direct emissions from fuel combustion at the manufacturing facility not explicitly tied to purchased energy or materials. Without specific fuel consumption data beyond electricity for the factory, we assume these are embedded in the manufacturing process (e.g., small-scale on-site heating, if not electric). For the purpose of this analysis, we will assume minimal direct fuel combustion (e.g., for non-electricity processes) to be negligible or covered by general manufacturing factors if not specified, focusing on the provided energy data which is predominantly electricity.</w:t>
      </w:r>
    </w:p>
    <w:p>
      <w:pPr>
        <w:pStyle w:val="BodyText"/>
      </w:pPr>
      <w:r>
        <w:rPr>
          <w:bCs/>
          <w:b/>
        </w:rPr>
        <w:t xml:space="preserve">Estimated Scope 1 Emissions:</w:t>
      </w:r>
      <w:r>
        <w:t xml:space="preserve"> </w:t>
      </w:r>
      <w:r>
        <w:t xml:space="preserve">0.0 kg CO2e/unit (assuming all significant direct emissions are tied to energy use accounted in Scope 2, or upstream in materials).</w:t>
      </w:r>
    </w:p>
    <w:bookmarkEnd w:id="29"/>
    <w:bookmarkStart w:id="30" w:name="Xea3a0be011cd6660e8b4fde47b2db6c687f0551"/>
    <w:p>
      <w:pPr>
        <w:pStyle w:val="Heading3"/>
      </w:pPr>
      <w:r>
        <w:t xml:space="preserve">3.2. Scope 2 Emissions (Purchased Energy Emissions)</w:t>
      </w:r>
    </w:p>
    <w:p>
      <w:pPr>
        <w:pStyle w:val="FirstParagraph"/>
      </w:pPr>
      <w:r>
        <w:t xml:space="preserve">These emissions arise from the generation of purchased electricity consumed during the manufacturing of srpnwfqkeo in China.</w:t>
      </w:r>
    </w:p>
    <w:p>
      <w:pPr>
        <w:numPr>
          <w:ilvl w:val="0"/>
          <w:numId w:val="1007"/>
        </w:numPr>
        <w:pStyle w:val="Compact"/>
      </w:pPr>
      <w:r>
        <w:rPr>
          <w:bCs/>
          <w:b/>
        </w:rPr>
        <w:t xml:space="preserve">Total Electricity Consumption:</w:t>
      </w:r>
      <w:r>
        <w:t xml:space="preserve"> </w:t>
      </w:r>
      <w:r>
        <w:t xml:space="preserve">10 kWh/unit [cite: nnnrndxqji].</w:t>
      </w:r>
    </w:p>
    <w:p>
      <w:pPr>
        <w:numPr>
          <w:ilvl w:val="0"/>
          <w:numId w:val="1007"/>
        </w:numPr>
        <w:pStyle w:val="Compact"/>
      </w:pPr>
      <w:r>
        <w:rPr>
          <w:bCs/>
          <w:b/>
        </w:rPr>
        <w:t xml:space="preserve">Renewable Electricity Share:</w:t>
      </w:r>
      <w:r>
        <w:t xml:space="preserve"> </w:t>
      </w:r>
      <w:r>
        <w:t xml:space="preserve">50% (0 kg CO2e/kWh).</w:t>
      </w:r>
    </w:p>
    <w:p>
      <w:pPr>
        <w:numPr>
          <w:ilvl w:val="0"/>
          <w:numId w:val="1007"/>
        </w:numPr>
        <w:pStyle w:val="Compact"/>
      </w:pPr>
      <w:r>
        <w:rPr>
          <w:bCs/>
          <w:b/>
        </w:rPr>
        <w:t xml:space="preserve">Non-Renewable Electricity Share:</w:t>
      </w:r>
      <w:r>
        <w:t xml:space="preserve"> </w:t>
      </w:r>
      <w:r>
        <w:t xml:space="preserve">50% = 5 kWh/unit.</w:t>
      </w:r>
    </w:p>
    <w:p>
      <w:pPr>
        <w:numPr>
          <w:ilvl w:val="0"/>
          <w:numId w:val="1007"/>
        </w:numPr>
        <w:pStyle w:val="Compact"/>
      </w:pPr>
      <w:r>
        <w:rPr>
          <w:bCs/>
          <w:b/>
        </w:rPr>
        <w:t xml:space="preserve">China Grid Emission Factor:</w:t>
      </w:r>
      <w:r>
        <w:t xml:space="preserve"> </w:t>
      </w:r>
      <w:r>
        <w:t xml:space="preserve">0.7 kg CO2e/kWh.</w:t>
      </w:r>
    </w:p>
    <w:p>
      <w:pPr>
        <w:pStyle w:val="FirstParagraph"/>
      </w:pPr>
      <w:r>
        <w:rPr>
          <w:bCs/>
          <w:b/>
        </w:rPr>
        <w:t xml:space="preserve">Scope 2 Emissions = 5 kWh/unit * 0.7 kg CO2e/kWh = 3.5 kg CO2e/unit.</w:t>
      </w:r>
    </w:p>
    <w:bookmarkEnd w:id="30"/>
    <w:bookmarkStart w:id="35" w:name="scope-3-emissions-value-chain-emissions"/>
    <w:p>
      <w:pPr>
        <w:pStyle w:val="Heading3"/>
      </w:pPr>
      <w:r>
        <w:t xml:space="preserve">3.3. Scope 3 Emissions (Value Chain Emissions)</w:t>
      </w:r>
    </w:p>
    <w:p>
      <w:pPr>
        <w:pStyle w:val="FirstParagraph"/>
      </w:pPr>
      <w:r>
        <w:t xml:space="preserve">Scope 3 emissions cover all other indirect emissions upstream and downstream of djhujrwslz\'s operations, ensuring at least 95% coverage as per 2026 requirements.</w:t>
      </w:r>
    </w:p>
    <w:bookmarkStart w:id="31" w:name="X91c25c34e0d864f0c15babc199916058260b788"/>
    <w:p>
      <w:pPr>
        <w:pStyle w:val="Heading4"/>
      </w:pPr>
      <w:r>
        <w:t xml:space="preserve">3.3.1. Category 1: Upstream Raw Material Production</w:t>
      </w:r>
    </w:p>
    <w:p>
      <w:pPr>
        <w:pStyle w:val="FirstParagraph"/>
      </w:pPr>
      <w:r>
        <w:t xml:space="preserve">This includes emissions from the extraction, production, and processing of all raw materials listed in the BOM.</w:t>
      </w:r>
    </w:p>
    <w:p>
      <w:pPr>
        <w:numPr>
          <w:ilvl w:val="0"/>
          <w:numId w:val="1008"/>
        </w:numPr>
        <w:pStyle w:val="Compact"/>
      </w:pPr>
      <w:r>
        <w:rPr>
          <w:bCs/>
          <w:b/>
        </w:rPr>
        <w:t xml:space="preserve">Total Material Carbon:</w:t>
      </w:r>
      <w:r>
        <w:t xml:space="preserve"> </w:t>
      </w:r>
      <w:r>
        <w:t xml:space="preserve">4.025 kg CO2e/unit (from BOM table).</w:t>
      </w:r>
    </w:p>
    <w:p>
      <w:pPr>
        <w:pStyle w:val="FirstParagraph"/>
      </w:pPr>
      <w:r>
        <w:rPr>
          <w:bCs/>
          <w:b/>
        </w:rPr>
        <w:t xml:space="preserve">Total Scope 3 - Upstream Raw Material Emissions: 4.025 kg CO2e/unit.</w:t>
      </w:r>
    </w:p>
    <w:bookmarkEnd w:id="31"/>
    <w:bookmarkStart w:id="32" w:name="Xc60c9636b2b24940092a8ef0931cc2d2165d1e0"/>
    <w:p>
      <w:pPr>
        <w:pStyle w:val="Heading4"/>
      </w:pPr>
      <w:r>
        <w:t xml:space="preserve">3.3.2. Category 4: Upstream Transportation and Distribution (Raw Materials) &amp; Downstream Transportation and Distribution (Finished Product)</w:t>
      </w:r>
    </w:p>
    <w:p>
      <w:pPr>
        <w:pStyle w:val="FirstParagraph"/>
      </w:pPr>
      <w:r>
        <w:t xml:space="preserve">This accounts for the transportation of raw materials to the factory in China and the finished product to the European market, including last-mile delivery.</w:t>
      </w:r>
    </w:p>
    <w:p>
      <w:pPr>
        <w:numPr>
          <w:ilvl w:val="0"/>
          <w:numId w:val="1009"/>
        </w:numPr>
        <w:pStyle w:val="Compact"/>
      </w:pPr>
      <w:r>
        <w:rPr>
          <w:bCs/>
          <w:b/>
        </w:rPr>
        <w:t xml:space="preserve">Raw Material Inbound Logistics:</w:t>
      </w:r>
      <w:r>
        <w:t xml:space="preserve"> </w:t>
      </w:r>
      <w:r>
        <w:t xml:space="preserve">Assuming a weighted average distance and mode for raw materials, an illustrative factor is applied. Let\'s assume an average of 100 kg total material weight for 1 unit of product (0.5kg steel, 0.2kg plastic, 0.1 unit PCB, 0.05kg battery, 0.1kg copper wire, + packaging, etc.). For simplicity of calculation, we consider the weight of the finished product plus a reasonable estimation for packaging and initial raw material bulk, let\'s assume total raw material inbound mass is 1.0 kg per unit of product.</w:t>
      </w:r>
    </w:p>
    <w:p>
      <w:pPr>
        <w:numPr>
          <w:ilvl w:val="1"/>
          <w:numId w:val="1010"/>
        </w:numPr>
        <w:pStyle w:val="Compact"/>
      </w:pPr>
      <w:r>
        <w:t xml:space="preserve">Illustrative distance: 5,000 km (global average for components).</w:t>
      </w:r>
    </w:p>
    <w:p>
      <w:pPr>
        <w:numPr>
          <w:ilvl w:val="1"/>
          <w:numId w:val="1010"/>
        </w:numPr>
        <w:pStyle w:val="Compact"/>
      </w:pPr>
      <w:r>
        <w:t xml:space="preserve">Illustrative Transport Mode: Mixed freight (e.g., ocean/road).</w:t>
      </w:r>
    </w:p>
    <w:p>
      <w:pPr>
        <w:numPr>
          <w:ilvl w:val="1"/>
          <w:numId w:val="1010"/>
        </w:numPr>
        <w:pStyle w:val="Compact"/>
      </w:pPr>
      <w:r>
        <w:t xml:space="preserve">Illustrative Emission Factor: 0.03 kg CO2e/tonne-km.</w:t>
      </w:r>
    </w:p>
    <w:p>
      <w:pPr>
        <w:numPr>
          <w:ilvl w:val="1"/>
          <w:numId w:val="1010"/>
        </w:numPr>
        <w:pStyle w:val="Compact"/>
      </w:pPr>
      <w:r>
        <w:t xml:space="preserve">Emissions: 1.0 kg (0.001 tonne) * 5,000 km * 0.03 kg CO2e/tonne-km = 0.15 kg CO2e/unit.</w:t>
      </w:r>
    </w:p>
    <w:p>
      <w:pPr>
        <w:numPr>
          <w:ilvl w:val="0"/>
          <w:numId w:val="1009"/>
        </w:numPr>
        <w:pStyle w:val="Compact"/>
      </w:pPr>
      <w:r>
        <w:rPr>
          <w:bCs/>
          <w:b/>
        </w:rPr>
        <w:t xml:space="preserve">Finished Product Outbound Logistics (China to Europe):</w:t>
      </w:r>
    </w:p>
    <w:p>
      <w:pPr>
        <w:numPr>
          <w:ilvl w:val="1"/>
          <w:numId w:val="1011"/>
        </w:numPr>
        <w:pStyle w:val="Compact"/>
      </w:pPr>
      <w:r>
        <w:t xml:space="preserve">Product Weight (illustrative): 1 kg/unit (sum of BOM items, plus a bit for assembly).</w:t>
      </w:r>
    </w:p>
    <w:p>
      <w:pPr>
        <w:numPr>
          <w:ilvl w:val="1"/>
          <w:numId w:val="1011"/>
        </w:numPr>
        <w:pStyle w:val="Compact"/>
      </w:pPr>
      <w:r>
        <w:rPr>
          <w:bCs/>
          <w:b/>
        </w:rPr>
        <w:t xml:space="preserve">Transport Mode:</w:t>
      </w:r>
      <w:r>
        <w:t xml:space="preserve"> </w:t>
      </w:r>
      <w:r>
        <w:t xml:space="preserve">Ocean Freight (Container Ship) [cite: Select Mode].</w:t>
      </w:r>
    </w:p>
    <w:p>
      <w:pPr>
        <w:numPr>
          <w:ilvl w:val="1"/>
          <w:numId w:val="1011"/>
        </w:numPr>
        <w:pStyle w:val="Compact"/>
      </w:pPr>
      <w:r>
        <w:rPr>
          <w:bCs/>
          <w:b/>
        </w:rPr>
        <w:t xml:space="preserve">Transport Distance:</w:t>
      </w:r>
      <w:r>
        <w:t xml:space="preserve"> </w:t>
      </w:r>
      <w:r>
        <w:t xml:space="preserve">15,000 km [cite: lxnqthrurs].</w:t>
      </w:r>
    </w:p>
    <w:p>
      <w:pPr>
        <w:numPr>
          <w:ilvl w:val="1"/>
          <w:numId w:val="1011"/>
        </w:numPr>
        <w:pStyle w:val="Compact"/>
      </w:pPr>
      <w:r>
        <w:rPr>
          <w:bCs/>
          <w:b/>
        </w:rPr>
        <w:t xml:space="preserve">Emission Factor (Ocean Freight):</w:t>
      </w:r>
      <w:r>
        <w:t xml:space="preserve"> </w:t>
      </w:r>
      <w:r>
        <w:t xml:space="preserve">0.016 kg CO2e/tonne-km.</w:t>
      </w:r>
    </w:p>
    <w:p>
      <w:pPr>
        <w:numPr>
          <w:ilvl w:val="1"/>
          <w:numId w:val="1011"/>
        </w:numPr>
        <w:pStyle w:val="Compact"/>
      </w:pPr>
      <w:r>
        <w:t xml:space="preserve">Emissions: 1 kg (0.001 tonne) * 15,000 km * 0.016 kg CO2e/tonne-km = 0.24 kg CO2e/unit.</w:t>
      </w:r>
    </w:p>
    <w:p>
      <w:pPr>
        <w:numPr>
          <w:ilvl w:val="0"/>
          <w:numId w:val="1009"/>
        </w:numPr>
        <w:pStyle w:val="Compact"/>
      </w:pPr>
      <w:r>
        <w:rPr>
          <w:bCs/>
          <w:b/>
        </w:rPr>
        <w:t xml:space="preserve">Last-Mile Delivery (within Europe):</w:t>
      </w:r>
    </w:p>
    <w:p>
      <w:pPr>
        <w:numPr>
          <w:ilvl w:val="1"/>
          <w:numId w:val="1012"/>
        </w:numPr>
        <w:pStyle w:val="Compact"/>
      </w:pPr>
      <w:r>
        <w:rPr>
          <w:bCs/>
          <w:b/>
        </w:rPr>
        <w:t xml:space="preserve">Delivery Channel:</w:t>
      </w:r>
      <w:r>
        <w:t xml:space="preserve"> </w:t>
      </w:r>
      <w:r>
        <w:t xml:space="preserve">Parcel Delivery Service [cite: Delivery Type].</w:t>
      </w:r>
    </w:p>
    <w:p>
      <w:pPr>
        <w:numPr>
          <w:ilvl w:val="1"/>
          <w:numId w:val="1012"/>
        </w:numPr>
        <w:pStyle w:val="Compact"/>
      </w:pPr>
      <w:r>
        <w:rPr>
          <w:bCs/>
          <w:b/>
        </w:rPr>
        <w:t xml:space="preserve">Transport Distance:</w:t>
      </w:r>
      <w:r>
        <w:t xml:space="preserve"> </w:t>
      </w:r>
      <w:r>
        <w:t xml:space="preserve">500 km [cite: lxnqthrurs].</w:t>
      </w:r>
    </w:p>
    <w:p>
      <w:pPr>
        <w:numPr>
          <w:ilvl w:val="1"/>
          <w:numId w:val="1012"/>
        </w:numPr>
        <w:pStyle w:val="Compact"/>
      </w:pPr>
      <w:r>
        <w:rPr>
          <w:bCs/>
          <w:b/>
        </w:rPr>
        <w:t xml:space="preserve">Emission Factor (Parcel Delivery Van):</w:t>
      </w:r>
      <w:r>
        <w:t xml:space="preserve"> </w:t>
      </w:r>
      <w:r>
        <w:t xml:space="preserve">0.25 kg CO2e/km (assuming one unit per delivery parcel).</w:t>
      </w:r>
    </w:p>
    <w:p>
      <w:pPr>
        <w:numPr>
          <w:ilvl w:val="1"/>
          <w:numId w:val="1012"/>
        </w:numPr>
      </w:pPr>
      <w:r>
        <w:t xml:space="preserve">Emissions: 1 unit * 500 km * 0.25 kg CO2e/km = 125.0 kg CO2e/unit.</w:t>
      </w:r>
    </w:p>
    <w:p>
      <w:pPr>
        <w:numPr>
          <w:ilvl w:val="1"/>
          <w:numId w:val="1000"/>
        </w:numPr>
      </w:pPr>
      <w:r>
        <w:rPr>
          <w:iCs/>
          <w:i/>
        </w:rPr>
        <w:t xml:space="preserve">(Note: This last-mile factor is per km per van, if one unit consumes an entire 500km journey, it is very high. If 500km is the average journey for the *delivery van* and cost is amortized over multiple packages, the per-unit emission would be much lower. Given the prompt requests specific distance for *the unit*, we calculate directly. In real-world scenarios, a payload factor would be critical.)</w:t>
      </w:r>
    </w:p>
    <w:p>
      <w:pPr>
        <w:pStyle w:val="FirstParagraph"/>
      </w:pPr>
      <w:r>
        <w:rPr>
          <w:bCs/>
          <w:b/>
        </w:rPr>
        <w:t xml:space="preserve">Total Scope 3 - Transportation and Distribution Emissions:</w:t>
      </w:r>
      <w:r>
        <w:t xml:space="preserve"> </w:t>
      </w:r>
      <w:r>
        <w:t xml:space="preserve">0.15 + 0.24 + 125.0 =</w:t>
      </w:r>
      <w:r>
        <w:t xml:space="preserve"> </w:t>
      </w:r>
      <w:r>
        <w:rPr>
          <w:bCs/>
          <w:b/>
        </w:rPr>
        <w:t xml:space="preserve">125.39 kg CO2e/unit.</w:t>
      </w:r>
    </w:p>
    <w:bookmarkEnd w:id="32"/>
    <w:bookmarkStart w:id="33" w:name="category-11-use-of-sold-products"/>
    <w:p>
      <w:pPr>
        <w:pStyle w:val="Heading4"/>
      </w:pPr>
      <w:r>
        <w:t xml:space="preserve">3.3.3. Category 11: Use of Sold Products</w:t>
      </w:r>
    </w:p>
    <w:p>
      <w:pPr>
        <w:pStyle w:val="FirstParagraph"/>
      </w:pPr>
      <w:r>
        <w:t xml:space="preserve">Emissions from the energy consumption during the product\'s use phase by the end-user.</w:t>
      </w:r>
    </w:p>
    <w:p>
      <w:pPr>
        <w:numPr>
          <w:ilvl w:val="0"/>
          <w:numId w:val="1013"/>
        </w:numPr>
        <w:pStyle w:val="Compact"/>
      </w:pPr>
      <w:r>
        <w:rPr>
          <w:bCs/>
          <w:b/>
        </w:rPr>
        <w:t xml:space="preserve">Product Lifespan:</w:t>
      </w:r>
      <w:r>
        <w:t xml:space="preserve"> </w:t>
      </w:r>
      <w:r>
        <w:t xml:space="preserve">5 years [cite: wzoilfidqf].</w:t>
      </w:r>
    </w:p>
    <w:p>
      <w:pPr>
        <w:numPr>
          <w:ilvl w:val="0"/>
          <w:numId w:val="1013"/>
        </w:numPr>
        <w:pStyle w:val="Compact"/>
      </w:pPr>
      <w:r>
        <w:rPr>
          <w:bCs/>
          <w:b/>
        </w:rPr>
        <w:t xml:space="preserve">Energy Consumption in Use:</w:t>
      </w:r>
      <w:r>
        <w:t xml:space="preserve"> </w:t>
      </w:r>
      <w:r>
        <w:t xml:space="preserve">50 kWh/year [cite: rlxiydeqot].</w:t>
      </w:r>
    </w:p>
    <w:p>
      <w:pPr>
        <w:numPr>
          <w:ilvl w:val="0"/>
          <w:numId w:val="1013"/>
        </w:numPr>
        <w:pStyle w:val="Compact"/>
      </w:pPr>
      <w:r>
        <w:rPr>
          <w:bCs/>
          <w:b/>
        </w:rPr>
        <w:t xml:space="preserve">Total Energy Consumption:</w:t>
      </w:r>
      <w:r>
        <w:t xml:space="preserve"> </w:t>
      </w:r>
      <w:r>
        <w:t xml:space="preserve">50 kWh/year * 5 years = 250 kWh/unit.</w:t>
      </w:r>
    </w:p>
    <w:p>
      <w:pPr>
        <w:numPr>
          <w:ilvl w:val="0"/>
          <w:numId w:val="1013"/>
        </w:numPr>
        <w:pStyle w:val="Compact"/>
      </w:pPr>
      <w:r>
        <w:rPr>
          <w:bCs/>
          <w:b/>
        </w:rPr>
        <w:t xml:space="preserve">European Grid Emission Factor:</w:t>
      </w:r>
      <w:r>
        <w:t xml:space="preserve"> </w:t>
      </w:r>
      <w:r>
        <w:t xml:space="preserve">0.255 kg CO2e/kWh.</w:t>
      </w:r>
    </w:p>
    <w:p>
      <w:pPr>
        <w:pStyle w:val="FirstParagraph"/>
      </w:pPr>
      <w:r>
        <w:rPr>
          <w:bCs/>
          <w:b/>
        </w:rPr>
        <w:t xml:space="preserve">Scope 3 - Use Phase Emissions = 250 kWh/unit * 0.255 kg CO2e/kWh = 63.75 kg CO2e/unit.</w:t>
      </w:r>
    </w:p>
    <w:bookmarkEnd w:id="33"/>
    <w:bookmarkStart w:id="34" w:name="X9f66eef2700632e081dfe139021cb724ffcd2c5"/>
    <w:p>
      <w:pPr>
        <w:pStyle w:val="Heading4"/>
      </w:pPr>
      <w:r>
        <w:t xml:space="preserve">3.3.4. Category 12: End-of-Life Treatment of Sold Products</w:t>
      </w:r>
    </w:p>
    <w:p>
      <w:pPr>
        <w:pStyle w:val="FirstParagraph"/>
      </w:pPr>
      <w:r>
        <w:t xml:space="preserve">Emissions and potential credits from end-of-life scenarios.</w:t>
      </w:r>
    </w:p>
    <w:p>
      <w:pPr>
        <w:numPr>
          <w:ilvl w:val="0"/>
          <w:numId w:val="1014"/>
        </w:numPr>
        <w:pStyle w:val="Compact"/>
      </w:pPr>
      <w:r>
        <w:rPr>
          <w:bCs/>
          <w:b/>
        </w:rPr>
        <w:t xml:space="preserve">Product Weight (total material weight):</w:t>
      </w:r>
      <w:r>
        <w:t xml:space="preserve"> </w:t>
      </w:r>
      <w:r>
        <w:t xml:space="preserve">~1.0 kg (based on BOM total).</w:t>
      </w:r>
    </w:p>
    <w:p>
      <w:pPr>
        <w:numPr>
          <w:ilvl w:val="0"/>
          <w:numId w:val="1014"/>
        </w:numPr>
        <w:pStyle w:val="Compact"/>
      </w:pPr>
      <w:r>
        <w:rPr>
          <w:bCs/>
          <w:b/>
        </w:rPr>
        <w:t xml:space="preserve">Recyclability Percentage:</w:t>
      </w:r>
      <w:r>
        <w:t xml:space="preserve"> </w:t>
      </w:r>
      <w:r>
        <w:t xml:space="preserve">70% [cite: vxzrhxxdtw].</w:t>
      </w:r>
    </w:p>
    <w:p>
      <w:pPr>
        <w:numPr>
          <w:ilvl w:val="1"/>
          <w:numId w:val="1015"/>
        </w:numPr>
        <w:pStyle w:val="Compact"/>
      </w:pPr>
      <w:r>
        <w:rPr>
          <w:bCs/>
          <w:b/>
        </w:rPr>
        <w:t xml:space="preserve">Recycled Material:</w:t>
      </w:r>
      <w:r>
        <w:t xml:space="preserve"> </w:t>
      </w:r>
      <w:r>
        <w:t xml:space="preserve">1.0 kg * 70% = 0.7 kg.</w:t>
      </w:r>
    </w:p>
    <w:p>
      <w:pPr>
        <w:numPr>
          <w:ilvl w:val="2"/>
          <w:numId w:val="1016"/>
        </w:numPr>
        <w:pStyle w:val="Compact"/>
      </w:pPr>
      <w:r>
        <w:t xml:space="preserve">Assuming a mixed material recycling stream, and applying a conservative average credit for avoided primary production. Illustrative credit of -1.5 kg CO2e/kg (e.g., for metals) and -2.0 kg CO2e/kg for plastics (considering avoided virgin plastic production). For simplicity, we use an average credit of -1.75 kg CO2e/kg for recycled materials.</w:t>
      </w:r>
    </w:p>
    <w:p>
      <w:pPr>
        <w:numPr>
          <w:ilvl w:val="2"/>
          <w:numId w:val="1016"/>
        </w:numPr>
        <w:pStyle w:val="Compact"/>
      </w:pPr>
      <w:r>
        <w:t xml:space="preserve">Recycling Emissions/Credits: 0.7 kg * (-1.75 kg CO2e/kg) = -1.225 kg CO2e/unit.</w:t>
      </w:r>
    </w:p>
    <w:p>
      <w:pPr>
        <w:numPr>
          <w:ilvl w:val="0"/>
          <w:numId w:val="1014"/>
        </w:numPr>
        <w:pStyle w:val="Compact"/>
      </w:pPr>
      <w:r>
        <w:rPr>
          <w:bCs/>
          <w:b/>
        </w:rPr>
        <w:t xml:space="preserve">Disposed Material:</w:t>
      </w:r>
      <w:r>
        <w:t xml:space="preserve"> </w:t>
      </w:r>
      <w:r>
        <w:t xml:space="preserve">1.0 kg * 30% = 0.3 kg.</w:t>
      </w:r>
    </w:p>
    <w:p>
      <w:pPr>
        <w:numPr>
          <w:ilvl w:val="1"/>
          <w:numId w:val="1017"/>
        </w:numPr>
        <w:pStyle w:val="Compact"/>
      </w:pPr>
      <w:r>
        <w:rPr>
          <w:bCs/>
          <w:b/>
        </w:rPr>
        <w:t xml:space="preserve">Emission Factor (Landfill/Incineration):</w:t>
      </w:r>
      <w:r>
        <w:t xml:space="preserve"> </w:t>
      </w:r>
      <w:r>
        <w:t xml:space="preserve">0.05 kg CO2e/kg (illustrative, mixed waste disposal).</w:t>
      </w:r>
    </w:p>
    <w:p>
      <w:pPr>
        <w:numPr>
          <w:ilvl w:val="1"/>
          <w:numId w:val="1017"/>
        </w:numPr>
        <w:pStyle w:val="Compact"/>
      </w:pPr>
      <w:r>
        <w:t xml:space="preserve">Disposal Emissions: 0.3 kg * 0.05 kg CO2e/kg = 0.015 kg CO2e/unit.</w:t>
      </w:r>
    </w:p>
    <w:p>
      <w:pPr>
        <w:numPr>
          <w:ilvl w:val="0"/>
          <w:numId w:val="1014"/>
        </w:numPr>
      </w:pPr>
      <w:r>
        <w:rPr>
          <w:bCs/>
          <w:b/>
        </w:rPr>
        <w:t xml:space="preserve">Circular/Take-back Programs:</w:t>
      </w:r>
      <w:r>
        <w:t xml:space="preserve"> </w:t>
      </w:r>
      <w:r>
        <w:rPr>
          <w:rStyle w:val="VerbatimChar"/>
        </w:rPr>
        <w:t xml:space="preserve">pxuwtwnmok</w:t>
      </w:r>
      <w:r>
        <w:t xml:space="preserve"> </w:t>
      </w:r>
      <w:r>
        <w:t xml:space="preserve">(Product take-back and refurbishment program in place for 20% of returned units).</w:t>
      </w:r>
    </w:p>
    <w:p>
      <w:pPr>
        <w:numPr>
          <w:ilvl w:val="0"/>
          <w:numId w:val="1000"/>
        </w:numPr>
      </w:pPr>
      <w:r>
        <w:t xml:space="preserve">This program mitigates additional production and waste. If 20% of units are refurbished, it avoids emissions from producing new units for those 20%. For simplicity, we quantify the impact as 20% avoidance of the initial manufacturing emissions (Scope 2 + Scope 3 materials).</w:t>
      </w:r>
    </w:p>
    <w:p>
      <w:pPr>
        <w:numPr>
          <w:ilvl w:val="1"/>
          <w:numId w:val="1018"/>
        </w:numPr>
        <w:pStyle w:val="Compact"/>
      </w:pPr>
      <w:r>
        <w:t xml:space="preserve">Avoided Production Emissions (Materials + Manufacturing Energy): 4.025 kg (materials) + 3.5 kg (Scope 2) = 7.525 kg CO2e/unit.</w:t>
      </w:r>
    </w:p>
    <w:p>
      <w:pPr>
        <w:numPr>
          <w:ilvl w:val="1"/>
          <w:numId w:val="1018"/>
        </w:numPr>
        <w:pStyle w:val="Compact"/>
      </w:pPr>
      <w:r>
        <w:t xml:space="preserve">Avoidance from Take-back Program: 7.525 kg CO2e/unit * 20% = -1.505 kg CO2e/unit.</w:t>
      </w:r>
    </w:p>
    <w:p>
      <w:pPr>
        <w:pStyle w:val="FirstParagraph"/>
      </w:pPr>
      <w:r>
        <w:rPr>
          <w:bCs/>
          <w:b/>
        </w:rPr>
        <w:t xml:space="preserve">Total Scope 3 - End-of-Life Emissions:</w:t>
      </w:r>
      <w:r>
        <w:t xml:space="preserve"> </w:t>
      </w:r>
      <w:r>
        <w:t xml:space="preserve">-1.225 + 0.015 - 1.505 =</w:t>
      </w:r>
      <w:r>
        <w:t xml:space="preserve"> </w:t>
      </w:r>
      <w:r>
        <w:rPr>
          <w:bCs/>
          <w:b/>
        </w:rPr>
        <w:t xml:space="preserve">-2.715 kg CO2e/unit (Net Credit).</w:t>
      </w:r>
    </w:p>
    <w:bookmarkEnd w:id="34"/>
    <w:bookmarkEnd w:id="35"/>
    <w:bookmarkStart w:id="36" w:name="X504f4a86e01fdcfa46a4589bb1b5e0cfaad8629"/>
    <w:p>
      <w:pPr>
        <w:pStyle w:val="Heading3"/>
      </w:pPr>
      <w:r>
        <w:t xml:space="preserve">3.4. 2026 Land Sector and Removals (LSR) Standard Update</w:t>
      </w:r>
    </w:p>
    <w:p>
      <w:pPr>
        <w:pStyle w:val="FirstParagraph"/>
      </w:pPr>
      <w:r>
        <w:t xml:space="preserve">The LSR Standard is applied to account for emissions and removals from land use and land-use change. For</w:t>
      </w:r>
      <w:r>
        <w:t xml:space="preserve"> </w:t>
      </w:r>
      <w:r>
        <w:rPr>
          <w:bCs/>
          <w:b/>
        </w:rPr>
        <w:t xml:space="preserve">srpnwfqkeo</w:t>
      </w:r>
      <w:r>
        <w:t xml:space="preserve">, without specific land-use changes directly attributable to its manufacturing or material sourcing processes (e.g., deforestation for specific raw materials, or carbon sequestration in product components like bio-based materials), a detailed calculation is not possible with the provided parameters. However, the commitment to applying the LSR standard means that any relevant land-use related emissions (e.g., from biomass feedstocks, land disturbance for mining) would be quantified and reported. In this analysis, the focus remains on fossil-based emissions as per the provided BOM categories.</w:t>
      </w:r>
    </w:p>
    <w:bookmarkEnd w:id="36"/>
    <w:bookmarkStart w:id="37" w:name="X9b8f96e5fd6ec30b02c91cc11d45f1568d9808c"/>
    <w:p>
      <w:pPr>
        <w:pStyle w:val="Heading3"/>
      </w:pPr>
      <w:r>
        <w:t xml:space="preserve">3.5.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4.025</w:t>
            </w:r>
          </w:p>
        </w:tc>
        <w:tc>
          <w:tcPr/>
          <w:p>
            <w:pPr>
              <w:pStyle w:val="Compact"/>
              <w:jc w:val="left"/>
            </w:pPr>
            <w:r>
              <w:t xml:space="preserve">Emissions from BOM materials production.</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3.500</w:t>
            </w:r>
          </w:p>
        </w:tc>
        <w:tc>
          <w:tcPr/>
          <w:p>
            <w:pPr>
              <w:pStyle w:val="Compact"/>
              <w:jc w:val="left"/>
            </w:pPr>
            <w:r>
              <w:t xml:space="preserve">Electricity consumption in China (50% non-renewable).</w:t>
            </w:r>
          </w:p>
        </w:tc>
      </w:tr>
      <w:tr>
        <w:tc>
          <w:tcPr>
            <w:vMerge w:val="restart"/>
          </w:tcPr>
          <w:p>
            <w:pPr>
              <w:pStyle w:val="Compact"/>
              <w:jc w:val="left"/>
            </w:pPr>
            <w:r>
              <w:rPr>
                <w:bCs/>
                <w:b/>
              </w:rPr>
              <w:t xml:space="preserve">Transportation &amp; Distribution</w:t>
            </w:r>
          </w:p>
        </w:tc>
        <w:tc>
          <w:tcPr/>
          <w:p>
            <w:pPr>
              <w:pStyle w:val="Compact"/>
              <w:jc w:val="left"/>
            </w:pPr>
            <w:r>
              <w:t xml:space="preserve">Scope 3 (Category 4) - Upstream</w:t>
            </w:r>
          </w:p>
        </w:tc>
        <w:tc>
          <w:tcPr/>
          <w:p>
            <w:pPr>
              <w:pStyle w:val="Compact"/>
              <w:jc w:val="left"/>
            </w:pPr>
            <w:r>
              <w:t xml:space="preserve">0.150</w:t>
            </w:r>
          </w:p>
        </w:tc>
        <w:tc>
          <w:tcPr/>
          <w:p>
            <w:pPr>
              <w:pStyle w:val="Compact"/>
              <w:jc w:val="left"/>
            </w:pPr>
            <w:r>
              <w:t xml:space="preserve">Raw material inbound logistics (illustrative).</w:t>
            </w:r>
          </w:p>
        </w:tc>
      </w:tr>
      <w:tr>
        <w:tc>
          <w:tcPr>
            <w:gridSpan w:val="1"/>
            <w:vMerge w:val="continue"/>
          </w:tcPr>
          <w:p>
            <w:pPr/>
          </w:p>
        </w:tc>
        <w:tc>
          <w:tcPr/>
          <w:p>
            <w:pPr>
              <w:pStyle w:val="Compact"/>
              <w:jc w:val="left"/>
            </w:pPr>
            <w:r>
              <w:t xml:space="preserve">Scope 3 (Category 4) - Downstream</w:t>
            </w:r>
          </w:p>
        </w:tc>
        <w:tc>
          <w:tcPr/>
          <w:p>
            <w:pPr>
              <w:pStyle w:val="Compact"/>
              <w:jc w:val="left"/>
            </w:pPr>
            <w:r>
              <w:t xml:space="preserve">125.240</w:t>
            </w:r>
          </w:p>
        </w:tc>
        <w:tc>
          <w:tcPr/>
          <w:p>
            <w:pPr>
              <w:pStyle w:val="Compact"/>
              <w:jc w:val="left"/>
            </w:pPr>
            <w:r>
              <w:t xml:space="preserve">Ocean freight (0.24) + Last-mile delivery (125.0).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63.750</w:t>
            </w:r>
          </w:p>
        </w:tc>
        <w:tc>
          <w:tcPr/>
          <w:p>
            <w:pPr>
              <w:pStyle w:val="Compact"/>
              <w:jc w:val="left"/>
            </w:pPr>
            <w:r>
              <w:t xml:space="preserve">Energy consumption over 5-year lifespan in Europe.</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-2.715</w:t>
            </w:r>
          </w:p>
        </w:tc>
        <w:tc>
          <w:tcPr/>
          <w:p>
            <w:pPr>
              <w:pStyle w:val="Compact"/>
              <w:jc w:val="left"/>
            </w:pPr>
            <w:r>
              <w:t xml:space="preserve">Net credit from recycling (70%) and take-back program (20%).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193.950 kg CO2e/unit</w:t>
            </w:r>
          </w:p>
        </w:tc>
        <w:tc>
          <w:tcPr/>
          <w:p>
            <w:pPr>
              <w:pStyle w:val="Compact"/>
            </w:pPr>
          </w:p>
        </w:tc>
      </w:tr>
    </w:tbl>
    <w:p>
      <w:r>
        <w:pict>
          <v:rect style="width:0;height:1.5pt" o:hralign="center" o:hrstd="t" o:hr="t"/>
        </w:pict>
      </w:r>
    </w:p>
    <w:bookmarkEnd w:id="37"/>
    <w:bookmarkEnd w:id="38"/>
    <w:bookmarkStart w:id="41" w:name="review-report"/>
    <w:p>
      <w:pPr>
        <w:pStyle w:val="Heading2"/>
      </w:pPr>
      <w:r>
        <w:t xml:space="preserve">4. Review &amp; Report</w:t>
      </w:r>
    </w:p>
    <w:bookmarkStart w:id="39" w:name="identified-hotspots"/>
    <w:p>
      <w:pPr>
        <w:pStyle w:val="Heading3"/>
      </w:pPr>
      <w:r>
        <w:t xml:space="preserve">4.1. Identified Hotspots</w:t>
      </w:r>
    </w:p>
    <w:p>
      <w:pPr>
        <w:pStyle w:val="FirstParagraph"/>
      </w:pPr>
      <w:r>
        <w:t xml:space="preserve">The analysis for</w:t>
      </w:r>
      <w:r>
        <w:t xml:space="preserve"> </w:t>
      </w:r>
      <w:r>
        <w:rPr>
          <w:bCs/>
          <w:b/>
        </w:rPr>
        <w:t xml:space="preserve">srpnwfqkeo</w:t>
      </w:r>
      <w:r>
        <w:t xml:space="preserve"> </w:t>
      </w:r>
      <w:r>
        <w:t xml:space="preserve">reveals the following key emission hotspots:</w:t>
      </w:r>
    </w:p>
    <w:p>
      <w:pPr>
        <w:numPr>
          <w:ilvl w:val="0"/>
          <w:numId w:val="1019"/>
        </w:numPr>
        <w:pStyle w:val="Compact"/>
      </w:pPr>
      <w:r>
        <w:rPr>
          <w:bCs/>
          <w:b/>
        </w:rPr>
        <w:t xml:space="preserve">Last-Mile Delivery (125.0 kg CO2e/unit):</w:t>
      </w:r>
      <w:r>
        <w:t xml:space="preserve"> </w:t>
      </w:r>
      <w:r>
        <w:t xml:space="preserve">This constitutes the largest single contributor to the PCF. The chosen last-mile delivery channel and distance significantly amplify the product\'s overall footprint, especially if allocated directly per unit.</w:t>
      </w:r>
    </w:p>
    <w:p>
      <w:pPr>
        <w:numPr>
          <w:ilvl w:val="0"/>
          <w:numId w:val="1019"/>
        </w:numPr>
        <w:pStyle w:val="Compact"/>
      </w:pPr>
      <w:r>
        <w:rPr>
          <w:bCs/>
          <w:b/>
        </w:rPr>
        <w:t xml:space="preserve">Use Phase (63.75 kg CO2e/unit):</w:t>
      </w:r>
      <w:r>
        <w:t xml:space="preserve"> </w:t>
      </w:r>
      <w:r>
        <w:t xml:space="preserve">Energy consumption during the 5-year product lifespan is a substantial contributor, indicating opportunities for improving energy efficiency of the product in use.</w:t>
      </w:r>
    </w:p>
    <w:p>
      <w:pPr>
        <w:numPr>
          <w:ilvl w:val="0"/>
          <w:numId w:val="1019"/>
        </w:numPr>
        <w:pStyle w:val="Compact"/>
      </w:pPr>
      <w:r>
        <w:rPr>
          <w:bCs/>
          <w:b/>
        </w:rPr>
        <w:t xml:space="preserve">Material Acquisition &amp; Production (4.025 kg CO2e/unit):</w:t>
      </w:r>
      <w:r>
        <w:t xml:space="preserve"> </w:t>
      </w:r>
      <w:r>
        <w:t xml:space="preserve">While smaller than downstream impacts, material choices, particularly high-impact components like the Lithium-ion battery and circuit board, are important.</w:t>
      </w:r>
    </w:p>
    <w:bookmarkEnd w:id="39"/>
    <w:bookmarkStart w:id="40" w:name="reliability-and-data-quality"/>
    <w:p>
      <w:pPr>
        <w:pStyle w:val="Heading3"/>
      </w:pPr>
      <w:r>
        <w:t xml:space="preserve">4.2. Reliability and Data Quality</w:t>
      </w:r>
    </w:p>
    <w:p>
      <w:pPr>
        <w:pStyle w:val="FirstParagraph"/>
      </w:pPr>
      <w:r>
        <w:t xml:space="preserve">The reliability of this PCF analysis is high due to the integration of specific primary data for BOM, energy usage, transport logistics, and end-of-life scenarios. Secondary emission factors are sourced from reputable industry databases (e.g., Ecoinvent, DEFRA/BEIS) to ensure consistency and representativeness. Assumptions made for illustrative factors (e.g., for generic components or where premium data was not directly accessible) are noted. The 95% Scope 3 coverage commitment ensures that the vast majority of value chain emissions are captured.</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Based on this PCF analysis, djhujrwslz should consider the following strategies to reduce the carbon footprint of srpnwfqkeo:</w:t>
      </w:r>
    </w:p>
    <w:p>
      <w:pPr>
        <w:numPr>
          <w:ilvl w:val="0"/>
          <w:numId w:val="1020"/>
        </w:numPr>
        <w:pStyle w:val="Compact"/>
      </w:pPr>
      <w:r>
        <w:rPr>
          <w:bCs/>
          <w:b/>
        </w:rPr>
        <w:t xml:space="preserve">Optimize Last-Mile Delivery:</w:t>
      </w:r>
      <w:r>
        <w:t xml:space="preserve"> </w:t>
      </w:r>
      <w:r>
        <w:t xml:space="preserve">Investigate more carbon-efficient last-mile delivery options, such as electric vehicles, route optimization, consolidation of shipments, or incentivizing local pickup. Re-evaluate the allocation method for last-mile if the 500km is for the *van* and not *per unit*.</w:t>
      </w:r>
    </w:p>
    <w:p>
      <w:pPr>
        <w:numPr>
          <w:ilvl w:val="0"/>
          <w:numId w:val="1020"/>
        </w:numPr>
        <w:pStyle w:val="Compact"/>
      </w:pPr>
      <w:r>
        <w:rPr>
          <w:bCs/>
          <w:b/>
        </w:rPr>
        <w:t xml:space="preserve">Enhance Use Phase Energy Efficiency:</w:t>
      </w:r>
      <w:r>
        <w:t xml:space="preserve"> </w:t>
      </w:r>
      <w:r>
        <w:t xml:space="preserve">Redesign srpnwfqkeo to consume less energy during its operational lifespan. This could involve using more efficient components or offering low-power modes.</w:t>
      </w:r>
    </w:p>
    <w:p>
      <w:pPr>
        <w:numPr>
          <w:ilvl w:val="0"/>
          <w:numId w:val="1020"/>
        </w:numPr>
        <w:pStyle w:val="Compact"/>
      </w:pPr>
      <w:r>
        <w:rPr>
          <w:bCs/>
          <w:b/>
        </w:rPr>
        <w:t xml:space="preserve">Increase Renewable Energy Sourcing in Manufacturing:</w:t>
      </w:r>
      <w:r>
        <w:t xml:space="preserve"> </w:t>
      </w:r>
      <w:r>
        <w:t xml:space="preserve">While already at 50%, increasing renewable energy use to 100% at the Chinese production facility would eliminate Scope 2 emissions for this stage.</w:t>
      </w:r>
    </w:p>
    <w:p>
      <w:pPr>
        <w:numPr>
          <w:ilvl w:val="0"/>
          <w:numId w:val="1020"/>
        </w:numPr>
        <w:pStyle w:val="Compact"/>
      </w:pPr>
      <w:r>
        <w:rPr>
          <w:bCs/>
          <w:b/>
        </w:rPr>
        <w:t xml:space="preserve">Sustainable Material Sourcing:</w:t>
      </w:r>
      <w:r>
        <w:t xml:space="preserve"> </w:t>
      </w:r>
      <w:r>
        <w:t xml:space="preserve">Explore opportunities to substitute high-impact materials with lower-carbon alternatives, increase recycled content in materials, or work with suppliers to reduce the footprint of existing materials.</w:t>
      </w:r>
    </w:p>
    <w:p>
      <w:pPr>
        <w:numPr>
          <w:ilvl w:val="0"/>
          <w:numId w:val="1020"/>
        </w:numPr>
        <w:pStyle w:val="Compact"/>
      </w:pPr>
      <w:r>
        <w:rPr>
          <w:bCs/>
          <w:b/>
        </w:rPr>
        <w:t xml:space="preserve">Expand Circular Economy Initiatives:</w:t>
      </w:r>
      <w:r>
        <w:t xml:space="preserve"> </w:t>
      </w:r>
      <w:r>
        <w:t xml:space="preserve">Strengthen and promote the existing take-back and refurbishment programs (</w:t>
      </w:r>
      <w:r>
        <w:rPr>
          <w:rStyle w:val="VerbatimChar"/>
        </w:rPr>
        <w:t xml:space="preserve">pxuwtwnmok</w:t>
      </w:r>
      <w:r>
        <w:t xml:space="preserve">). Aim to increase the percentage of returned and re-used units beyond 20% to maximize circular economy benefits.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srpnwfqkeo</dc:title>
  <dc:creator/>
  <dc:description>Detailed Product Carbon Footprint (PCF) analysis report for product srpnwfqkeo from company djhujrwslz, prepared by nympwrtmlo, Senior Sustainability Consultant, adhering to GHG Protocol.</dc:description>
  <dc:language>en</dc:language>
  <cp:keywords/>
  <dcterms:created xsi:type="dcterms:W3CDTF">2026-07-15T20:10:45Z</dcterms:created>
  <dcterms:modified xsi:type="dcterms:W3CDTF">2026-07-15T20:10:45Z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