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smhmsdrjuj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smhmsdrjuj</w:t>
      </w:r>
    </w:p>
    <w:p>
      <w:pPr>
        <w:pStyle w:val="BodyText"/>
      </w:pPr>
      <w:r>
        <w:t xml:space="preserve">Company Name:</w:t>
      </w:r>
      <w:r>
        <w:t xml:space="preserve"> </w:t>
      </w:r>
      <w:r>
        <w:rPr>
          <w:bCs/>
          <w:b/>
        </w:rPr>
        <w:t xml:space="preserve">ositmsxqss</w:t>
      </w:r>
    </w:p>
    <w:p>
      <w:pPr>
        <w:pStyle w:val="BodyText"/>
      </w:pPr>
      <w:r>
        <w:t xml:space="preserve">Accounting Standard:</w:t>
      </w:r>
      <w:r>
        <w:t xml:space="preserve"> </w:t>
      </w:r>
      <w:r>
        <w:rPr>
          <w:bCs/>
          <w:b/>
        </w:rPr>
        <w:t xml:space="preserve">GHG Protocol</w:t>
      </w:r>
    </w:p>
    <w:p>
      <w:pPr>
        <w:pStyle w:val="BodyText"/>
      </w:pPr>
      <w:r>
        <w:t xml:space="preserve">Prepared by:</w:t>
      </w:r>
    </w:p>
    <w:p>
      <w:pPr>
        <w:pStyle w:val="BodyText"/>
      </w:pPr>
      <w:r>
        <w:rPr>
          <w:bCs/>
          <w:b/>
        </w:rPr>
        <w:t xml:space="preserve">sfwrqwkwoh</w:t>
      </w:r>
    </w:p>
    <w:p>
      <w:pPr>
        <w:pStyle w:val="BodyText"/>
      </w:pPr>
      <w:r>
        <w:t xml:space="preserve">Senior Sustainability Consultant</w:t>
      </w:r>
    </w:p>
    <w:p>
      <w:pPr>
        <w:pStyle w:val="BodyText"/>
      </w:pPr>
      <w:r>
        <w:t xml:space="preserve">Disclaimer: This report is generated based on available data and industry standards. While every effort has been made to ensure accuracy, the calculations are sensitive to underlying assumptions and the quality of input data. Numerical interpretations for string-based parameters are illustrative and require verification with specific, quantified data for definitive results.</w:t>
      </w:r>
    </w:p>
    <w:bookmarkEnd w:id="20"/>
    <w:bookmarkStart w:id="51" w:name="X8ad0fdbbeb44ec9271094d4e182e5685925c681"/>
    <w:p>
      <w:pPr>
        <w:pStyle w:val="Heading1"/>
      </w:pPr>
      <w:r>
        <w:t xml:space="preserve">Product Carbon Footprint Analysis Report for smhmsdrjuj</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“smhmsdrjuj” manufactured by ositmsxqss, conducted by Senior Sustainability Consultant sfwrqwkwoh. The analysis adheres to the GHG Protocol standards, including considerations for the 2026 Land Sector and Removals (LSR) Standard update and stringent Scope 3 compliance requirements. The PCF quantifies the greenhouse gas (GHG) emissions associated with the product\'s entire lifecycle, from raw material acquisition through manufacturing, transport, use, and end-of-life. The total estimated carbon footprint for a functional unit of 1.0 unit of smhmsdrjuj is XX kg CO2e, with key hotspots identified in the material acquisition and manufacturing phases.</w:t>
      </w:r>
    </w:p>
    <w:p>
      <w:r>
        <w:pict>
          <v:rect style="width:0;height:1.5pt" o:hralign="center" o:hrstd="t" o:hr="t"/>
        </w:pict>
      </w:r>
    </w:p>
    <w:bookmarkEnd w:id="21"/>
    <w:bookmarkStart w:id="27" w:name="introduction-scope-definition"/>
    <w:p>
      <w:pPr>
        <w:pStyle w:val="Heading2"/>
      </w:pPr>
      <w:r>
        <w:t xml:space="preserve">1. Introduction &amp; Scope Definition</w:t>
      </w:r>
    </w:p>
    <w:p>
      <w:pPr>
        <w:pStyle w:val="FirstParagraph"/>
      </w:pPr>
      <w:r>
        <w:t xml:space="preserve">This Product Carbon Footprint (PCF) study quantifies the greenhouse gas (GHG) emissions of product smhmsdrjuj, produced by ositmsxqss, in accordance with the</w:t>
      </w:r>
      <w:r>
        <w:t xml:space="preserve"> </w:t>
      </w:r>
      <w:r>
        <w:rPr>
          <w:bCs/>
          <w:b/>
        </w:rPr>
        <w:t xml:space="preserve">GHG Protocol Product Standard</w:t>
      </w:r>
      <w:r>
        <w:t xml:space="preserve">. The analysis aims to provide a transparent and comprehensive overview of the product\'s environmental impact across its lifecycle, identifying emission hotspots and informing strategies for decarbonization.</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smhmsdrjuj</w:t>
      </w:r>
      <w:r>
        <w:t xml:space="preserve">, providing its intended function throughout its lifespan.</w:t>
      </w:r>
    </w:p>
    <w:bookmarkEnd w:id="22"/>
    <w:bookmarkStart w:id="23" w:name="system-boundary"/>
    <w:p>
      <w:pPr>
        <w:pStyle w:val="Heading3"/>
      </w:pPr>
      <w:r>
        <w:t xml:space="preserve">1.2. System Boundary</w:t>
      </w:r>
    </w:p>
    <w:p>
      <w:pPr>
        <w:pStyle w:val="FirstParagraph"/>
      </w:pPr>
      <w:r>
        <w:t xml:space="preserve">The system boundary for this analysis is primarily defined as</w:t>
      </w:r>
      <w:r>
        <w:t xml:space="preserve"> </w:t>
      </w:r>
      <w:r>
        <w:rPr>
          <w:bCs/>
          <w:b/>
        </w:rPr>
        <w:t xml:space="preserve">factory_gate</w:t>
      </w:r>
      <w:r>
        <w:t xml:space="preserve">, encompassing raw material acquisition, manufacturing, and the initial transport to the factory gate. However, to provide a comprehensive cradle-to-grave PCF as per best practices and Scope 3 requirements, upstream transportation and distribution, the use phase, and end-of-life treatment are also included in the analysis as part of the value chain. This ensures a holistic assessment of the product\'s full environmental impact.</w:t>
      </w:r>
    </w:p>
    <w:bookmarkEnd w:id="23"/>
    <w:bookmarkStart w:id="24" w:name="geographic-scope"/>
    <w:p>
      <w:pPr>
        <w:pStyle w:val="Heading3"/>
      </w:pPr>
      <w:r>
        <w:t xml:space="preserve">1.3. Geographic Scope</w:t>
      </w:r>
    </w:p>
    <w:p>
      <w:pPr>
        <w:pStyle w:val="FirstParagraph"/>
      </w:pPr>
      <w:r>
        <w:t xml:space="preserve">The geographic scope focuses on the final production country being</w:t>
      </w:r>
      <w:r>
        <w:t xml:space="preserve"> </w:t>
      </w:r>
      <w:r>
        <w:rPr>
          <w:bCs/>
          <w:b/>
        </w:rPr>
        <w:t xml:space="preserve">China</w:t>
      </w:r>
      <w:r>
        <w:t xml:space="preserve">, with a broader supply chain focus on</w:t>
      </w:r>
      <w:r>
        <w:t xml:space="preserve"> </w:t>
      </w:r>
      <w:r>
        <w:rPr>
          <w:bCs/>
          <w:b/>
        </w:rPr>
        <w:t xml:space="preserve">Europe</w:t>
      </w:r>
      <w:r>
        <w:t xml:space="preserve"> </w:t>
      </w:r>
      <w:r>
        <w:t xml:space="preserve">for upstream material and component sourcing. The use phase and end-of-life scenarios consider average conditions within these primary regions.</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 principles and requirements of the</w:t>
      </w:r>
      <w:r>
        <w:t xml:space="preserve"> </w:t>
      </w:r>
      <w:r>
        <w:rPr>
          <w:bCs/>
          <w:b/>
        </w:rPr>
        <w:t xml:space="preserve">GHG Protocol (Greenhouse Gas Protocol)</w:t>
      </w:r>
      <w:r>
        <w:t xml:space="preserve">. Emissions are categorized into Scope 1 (direct emissions), Scope 2 (indirect emissions from purchased energy), and Scope 3 (all other indirect emissions across the value chain).</w:t>
      </w:r>
    </w:p>
    <w:bookmarkEnd w:id="25"/>
    <w:bookmarkStart w:id="26" w:name="allocation"/>
    <w:p>
      <w:pPr>
        <w:pStyle w:val="Heading3"/>
      </w:pPr>
      <w:r>
        <w:t xml:space="preserve">1.5. Allocation</w:t>
      </w:r>
    </w:p>
    <w:p>
      <w:pPr>
        <w:pStyle w:val="FirstParagraph"/>
      </w:pPr>
      <w:r>
        <w:t xml:space="preserve">Emissions are allocated directly to the functional unit where possible. For co-products or shared processes, a mass-based allocation approach is applied, distributing emissions proportionally based on the mass contribution of smhmsdrjuj to the total output.</w:t>
      </w:r>
    </w:p>
    <w:p>
      <w:r>
        <w:pict>
          <v:rect style="width:0;height:1.5pt" o:hralign="center" o:hrstd="t" o:hr="t"/>
        </w:pict>
      </w:r>
    </w:p>
    <w:bookmarkEnd w:id="26"/>
    <w:bookmarkEnd w:id="27"/>
    <w:bookmarkStart w:id="35" w:name="X35745a8e252718d5a0d40cb3fbfce10aee0336d"/>
    <w:p>
      <w:pPr>
        <w:pStyle w:val="Heading2"/>
      </w:pPr>
      <w:r>
        <w:t xml:space="preserve">2. Lifecycle Mapping (LCI Inventory Stages) &amp; Data Collection</w:t>
      </w:r>
    </w:p>
    <w:p>
      <w:pPr>
        <w:pStyle w:val="FirstParagraph"/>
      </w:pPr>
      <w:r>
        <w:t xml:space="preserve">The lifecycle of smhmsdrjuj is mapped across five key stages, and data is collected from both primary (provided parameters) and secondary (industry-standard emission factors) sources.</w:t>
      </w:r>
    </w:p>
    <w:bookmarkStart w:id="29" w:name="X1b0368d9fa279ce5f642e6e7a88ce573ab93153"/>
    <w:p>
      <w:pPr>
        <w:pStyle w:val="Heading3"/>
      </w:pPr>
      <w:r>
        <w:t xml:space="preserve">2.1. Raw Material Acquisition &amp; Processing (Scope 3 - Upstream)</w:t>
      </w:r>
    </w:p>
    <w:p>
      <w:pPr>
        <w:pStyle w:val="FirstParagraph"/>
      </w:pPr>
      <w:r>
        <w:t xml:space="preserve">This stage includes the extraction, processing, and initial manufacturing of all raw materials and components listed in the Bill of Materials (BOM) for smhmsdrjuj. The primary data provided in the BOM (jgvkgpke) is used for high-accuracy material impact calculation.</w:t>
      </w:r>
    </w:p>
    <w:bookmarkStart w:id="28" w:name="detailed-bill-of-materials-bom-analysis"/>
    <w:p>
      <w:pPr>
        <w:pStyle w:val="Heading4"/>
      </w:pPr>
      <w:r>
        <w:t xml:space="preserve">Detailed Bill of Materials (BOM) Analysis</w:t>
      </w:r>
    </w:p>
    <w:p>
      <w:pPr>
        <w:pStyle w:val="FirstParagraph"/>
      </w:pPr>
      <w:r>
        <w:t xml:space="preserve">The provided Detailed Bill of Materials (BOM) for smhmsdrjuj is as follows:</w:t>
      </w:r>
    </w:p>
    <w:p>
      <w:pPr>
        <w:pStyle w:val="BodyText"/>
      </w:pPr>
      <w:r>
        <w:rPr>
          <w:rStyle w:val="VerbatimChar"/>
        </w:rPr>
        <w:t xml:space="preserve">BOM001,Steel Frame,Metals,Casting,2.5,kg,2.2,5.5;BOM002,ABS Plastic Casing,Plastics,Injection Molding,0.8,kg,2.8,2.24;BOM003,Lithium-ion Battery,Electronics,Manufacturing,0.2,unit,15.0,3.0;BOM004,Printed Circuit Board (PCB),Electronics,Assembly,0.1,unit,10.0,1.0;BOM005,Copper Wire,Metals,Extrusion,0.15,kg,3.5,0.525;BOM006,Screws and Fasteners,Metals,Machining,0.05,kg,1.8,0.09;BOM007,Rubber Gasket,Polymers,Molding,0.02,kg,1.2,0.024;BOM008,User Manual,Paper,Printing,0.01,unit,0.5,0.005;BOM009,Carton Packaging,Paper,Manufacturing,0.3,kg,0.7,0.21</w:t>
      </w:r>
    </w:p>
    <w:p>
      <w:pPr>
        <w:pStyle w:val="BodyText"/>
      </w:pPr>
      <w:r>
        <w:t xml:space="preserve">Parsed and tabulated, the material inputs are detailed below, incorporating their specific quantities and pre-calculated total carbon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BOM001</w:t>
            </w:r>
          </w:p>
        </w:tc>
        <w:tc>
          <w:tcPr/>
          <w:p>
            <w:pPr>
              <w:pStyle w:val="Compact"/>
              <w:jc w:val="left"/>
            </w:pPr>
            <w:r>
              <w:t xml:space="preserve">Steel Frame</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2.2</w:t>
            </w:r>
          </w:p>
        </w:tc>
        <w:tc>
          <w:tcPr/>
          <w:p>
            <w:pPr>
              <w:pStyle w:val="Compact"/>
              <w:jc w:val="left"/>
            </w:pPr>
            <w:r>
              <w:t xml:space="preserve">5.5</w:t>
            </w:r>
          </w:p>
        </w:tc>
      </w:tr>
      <w:tr>
        <w:tc>
          <w:tcPr/>
          <w:p>
            <w:pPr>
              <w:pStyle w:val="Compact"/>
              <w:jc w:val="left"/>
            </w:pPr>
            <w:r>
              <w:t xml:space="preserve">BOM002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2.8</w:t>
            </w:r>
          </w:p>
        </w:tc>
        <w:tc>
          <w:tcPr/>
          <w:p>
            <w:pPr>
              <w:pStyle w:val="Compact"/>
              <w:jc w:val="left"/>
            </w:pPr>
            <w:r>
              <w:t xml:space="preserve">2.24</w:t>
            </w:r>
          </w:p>
        </w:tc>
      </w:tr>
      <w:tr>
        <w:tc>
          <w:tcPr/>
          <w:p>
            <w:pPr>
              <w:pStyle w:val="Compact"/>
              <w:jc w:val="left"/>
            </w:pPr>
            <w:r>
              <w:t xml:space="preserve">BOM003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BOM004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BOM005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BOM006</w:t>
            </w:r>
          </w:p>
        </w:tc>
        <w:tc>
          <w:tcPr/>
          <w:p>
            <w:pPr>
              <w:pStyle w:val="Compact"/>
              <w:jc w:val="left"/>
            </w:pPr>
            <w:r>
              <w:t xml:space="preserve">Screws and Fasteners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0.09</w:t>
            </w:r>
          </w:p>
        </w:tc>
      </w:tr>
      <w:tr>
        <w:tc>
          <w:tcPr/>
          <w:p>
            <w:pPr>
              <w:pStyle w:val="Compact"/>
              <w:jc w:val="left"/>
            </w:pPr>
            <w:r>
              <w:t xml:space="preserve">BOM007</w:t>
            </w:r>
          </w:p>
        </w:tc>
        <w:tc>
          <w:tcPr/>
          <w:p>
            <w:pPr>
              <w:pStyle w:val="Compact"/>
              <w:jc w:val="left"/>
            </w:pPr>
            <w:r>
              <w:t xml:space="preserve">Rubber Gasket</w:t>
            </w:r>
          </w:p>
        </w:tc>
        <w:tc>
          <w:tcPr/>
          <w:p>
            <w:pPr>
              <w:pStyle w:val="Compact"/>
              <w:jc w:val="left"/>
            </w:pPr>
            <w:r>
              <w:t xml:space="preserve">Polymers</w:t>
            </w:r>
          </w:p>
        </w:tc>
        <w:tc>
          <w:tcPr/>
          <w:p>
            <w:pPr>
              <w:pStyle w:val="Compact"/>
              <w:jc w:val="left"/>
            </w:pPr>
            <w:r>
              <w:t xml:space="preserve">Molding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0.024</w:t>
            </w:r>
          </w:p>
        </w:tc>
      </w:tr>
      <w:tr>
        <w:tc>
          <w:tcPr/>
          <w:p>
            <w:pPr>
              <w:pStyle w:val="Compact"/>
              <w:jc w:val="left"/>
            </w:pPr>
            <w:r>
              <w:t xml:space="preserve">BOM008</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0.005</w:t>
            </w:r>
          </w:p>
        </w:tc>
      </w:tr>
      <w:tr>
        <w:tc>
          <w:tcPr/>
          <w:p>
            <w:pPr>
              <w:pStyle w:val="Compact"/>
              <w:jc w:val="left"/>
            </w:pPr>
            <w:r>
              <w:t xml:space="preserve">BOM009</w:t>
            </w:r>
          </w:p>
        </w:tc>
        <w:tc>
          <w:tcPr/>
          <w:p>
            <w:pPr>
              <w:pStyle w:val="Compact"/>
              <w:jc w:val="left"/>
            </w:pPr>
            <w:r>
              <w:t xml:space="preserve">Carton Packaging</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0.21</w:t>
            </w:r>
          </w:p>
        </w:tc>
      </w:tr>
    </w:tbl>
    <w:p>
      <w:pPr>
        <w:pStyle w:val="BodyText"/>
      </w:pPr>
      <w:r>
        <w:t xml:space="preserve">The total weight of the product, derived from the BOM, is approximately 4.13 kg.</w:t>
      </w:r>
    </w:p>
    <w:bookmarkEnd w:id="28"/>
    <w:bookmarkEnd w:id="29"/>
    <w:bookmarkStart w:id="30" w:name="X2d7d2731a5ec24109560c3a324a923b9e4b36fa"/>
    <w:p>
      <w:pPr>
        <w:pStyle w:val="Heading3"/>
      </w:pPr>
      <w:r>
        <w:t xml:space="preserve">2.2. Manufacturing (Scope 2 - Purchased Electricity)</w:t>
      </w:r>
    </w:p>
    <w:p>
      <w:pPr>
        <w:pStyle w:val="FirstParagraph"/>
      </w:pPr>
      <w:r>
        <w:t xml:space="preserve">This stage covers the energy consumed during the assembly and production of smhmsdrjuj at the manufacturing facility in China. The following specific energy customization data is incorporated:</w:t>
      </w:r>
    </w:p>
    <w:p>
      <w:pPr>
        <w:numPr>
          <w:ilvl w:val="0"/>
          <w:numId w:val="1001"/>
        </w:numPr>
        <w:pStyle w:val="Compact"/>
      </w:pPr>
      <w:r>
        <w:t xml:space="preserve">Renewable Energy Usage:</w:t>
      </w:r>
      <w:r>
        <w:t xml:space="preserve"> </w:t>
      </w:r>
      <w:r>
        <w:rPr>
          <w:bCs/>
          <w:b/>
        </w:rPr>
        <w:t xml:space="preserve">zrzpjdirdn</w:t>
      </w:r>
    </w:p>
    <w:p>
      <w:pPr>
        <w:numPr>
          <w:ilvl w:val="0"/>
          <w:numId w:val="1001"/>
        </w:numPr>
        <w:pStyle w:val="Compact"/>
      </w:pPr>
      <w:r>
        <w:t xml:space="preserve">Energy Intensity (kWh/unit):</w:t>
      </w:r>
      <w:r>
        <w:t xml:space="preserve"> </w:t>
      </w:r>
      <w:r>
        <w:rPr>
          <w:bCs/>
          <w:b/>
        </w:rPr>
        <w:t xml:space="preserve">epguixvsdz</w:t>
      </w:r>
    </w:p>
    <w:p>
      <w:pPr>
        <w:pStyle w:val="FirstParagraph"/>
      </w:pPr>
      <w:r>
        <w:t xml:space="preserve">For calculation purposes, we assume an energy intensity of 100 kWh/unit and a renewable energy usage of 50%. The remaining electricity is sourced from the national grid.</w:t>
      </w:r>
    </w:p>
    <w:bookmarkEnd w:id="30"/>
    <w:bookmarkStart w:id="31" w:name="transport-scope-3---upstream-downstream"/>
    <w:p>
      <w:pPr>
        <w:pStyle w:val="Heading3"/>
      </w:pPr>
      <w:r>
        <w:t xml:space="preserve">2.3. Transport (Scope 3 - Upstream &amp; Downstream)</w:t>
      </w:r>
    </w:p>
    <w:p>
      <w:pPr>
        <w:pStyle w:val="FirstParagraph"/>
      </w:pPr>
      <w:r>
        <w:t xml:space="preserve">Logistics data is incorporated into the supply chain analysis for both upstream transportation of materials to the factory and downstream distribution of the finished product. The specific logistics parameters are:</w:t>
      </w:r>
    </w:p>
    <w:p>
      <w:pPr>
        <w:numPr>
          <w:ilvl w:val="0"/>
          <w:numId w:val="1002"/>
        </w:numPr>
        <w:pStyle w:val="Compact"/>
      </w:pPr>
      <w:r>
        <w:t xml:space="preserve">Transport Mode:</w:t>
      </w:r>
      <w:r>
        <w:t xml:space="preserve"> </w:t>
      </w:r>
      <w:r>
        <w:rPr>
          <w:bCs/>
          <w:b/>
        </w:rPr>
        <w:t xml:space="preserve">Select Mode</w:t>
      </w:r>
    </w:p>
    <w:p>
      <w:pPr>
        <w:numPr>
          <w:ilvl w:val="0"/>
          <w:numId w:val="1002"/>
        </w:numPr>
        <w:pStyle w:val="Compact"/>
      </w:pPr>
      <w:r>
        <w:t xml:space="preserve">Transport Distance:</w:t>
      </w:r>
      <w:r>
        <w:t xml:space="preserve"> </w:t>
      </w:r>
      <w:r>
        <w:rPr>
          <w:bCs/>
          <w:b/>
        </w:rPr>
        <w:t xml:space="preserve">vqwjzmuxhx</w:t>
      </w:r>
    </w:p>
    <w:p>
      <w:pPr>
        <w:numPr>
          <w:ilvl w:val="0"/>
          <w:numId w:val="1002"/>
        </w:numPr>
        <w:pStyle w:val="Compact"/>
      </w:pPr>
      <w:r>
        <w:t xml:space="preserve">Last-Mile Delivery Channel:</w:t>
      </w:r>
      <w:r>
        <w:t xml:space="preserve"> </w:t>
      </w:r>
      <w:r>
        <w:rPr>
          <w:bCs/>
          <w:b/>
        </w:rPr>
        <w:t xml:space="preserve">Delivery Type</w:t>
      </w:r>
    </w:p>
    <w:p>
      <w:pPr>
        <w:pStyle w:val="FirstParagraph"/>
      </w:pPr>
      <w:r>
        <w:t xml:space="preserve">For calculation purposes, we assume the primary transport mode is Heavy Goods Vehicle (HGV) over a distance of 1500 km, and last-mile delivery uses Light Commercial Vehicle (LCV) over an additional 100 km. These are illustrative distances and modes given the placeholder nature of the input parameters.</w:t>
      </w:r>
    </w:p>
    <w:bookmarkEnd w:id="31"/>
    <w:bookmarkStart w:id="32" w:name="use-phase-scope-3---use-of-sold-products"/>
    <w:p>
      <w:pPr>
        <w:pStyle w:val="Heading3"/>
      </w:pPr>
      <w:r>
        <w:t xml:space="preserve">2.4. Use Phase (Scope 3 - Use of Sold Products)</w:t>
      </w:r>
    </w:p>
    <w:p>
      <w:pPr>
        <w:pStyle w:val="FirstParagraph"/>
      </w:pPr>
      <w:r>
        <w:t xml:space="preserve">This phase accounts for the energy consumption during the product\'s operational life. The specific durability and consumption data are:</w:t>
      </w:r>
    </w:p>
    <w:p>
      <w:pPr>
        <w:numPr>
          <w:ilvl w:val="0"/>
          <w:numId w:val="1003"/>
        </w:numPr>
        <w:pStyle w:val="Compact"/>
      </w:pPr>
      <w:r>
        <w:t xml:space="preserve">Product Lifespan:</w:t>
      </w:r>
      <w:r>
        <w:t xml:space="preserve"> </w:t>
      </w:r>
      <w:r>
        <w:rPr>
          <w:bCs/>
          <w:b/>
        </w:rPr>
        <w:t xml:space="preserve">dqoxovrqji</w:t>
      </w:r>
    </w:p>
    <w:p>
      <w:pPr>
        <w:numPr>
          <w:ilvl w:val="0"/>
          <w:numId w:val="1003"/>
        </w:numPr>
        <w:pStyle w:val="Compact"/>
      </w:pPr>
      <w:r>
        <w:t xml:space="preserve">Energy Consumption in Use:</w:t>
      </w:r>
      <w:r>
        <w:t xml:space="preserve"> </w:t>
      </w:r>
      <w:r>
        <w:rPr>
          <w:bCs/>
          <w:b/>
        </w:rPr>
        <w:t xml:space="preserve">qqkfnlitnf</w:t>
      </w:r>
    </w:p>
    <w:p>
      <w:pPr>
        <w:pStyle w:val="FirstParagraph"/>
      </w:pPr>
      <w:r>
        <w:t xml:space="preserve">For calculation purposes, we assume a product lifespan of 5 years and energy consumption of 20 kWh/year during use.</w:t>
      </w:r>
    </w:p>
    <w:bookmarkEnd w:id="32"/>
    <w:bookmarkStart w:id="33" w:name="X17cf42e14262173350350811b9b13a5e50484a3"/>
    <w:p>
      <w:pPr>
        <w:pStyle w:val="Heading3"/>
      </w:pPr>
      <w:r>
        <w:t xml:space="preserve">2.5. End-of-Life (EoL) (Scope 3 - End-of-Life Treatment of Sold Products)</w:t>
      </w:r>
    </w:p>
    <w:p>
      <w:pPr>
        <w:pStyle w:val="FirstParagraph"/>
      </w:pPr>
      <w:r>
        <w:t xml:space="preserve">End-of-life scenarios reflect circular economy impacts, considering the product\'s recyclability and any take-back programs.</w:t>
      </w:r>
    </w:p>
    <w:p>
      <w:pPr>
        <w:numPr>
          <w:ilvl w:val="0"/>
          <w:numId w:val="1004"/>
        </w:numPr>
        <w:pStyle w:val="Compact"/>
      </w:pPr>
      <w:r>
        <w:t xml:space="preserve">Recyclability Percentage:</w:t>
      </w:r>
      <w:r>
        <w:t xml:space="preserve"> </w:t>
      </w:r>
      <w:r>
        <w:rPr>
          <w:bCs/>
          <w:b/>
        </w:rPr>
        <w:t xml:space="preserve">qoezyyuywt</w:t>
      </w:r>
    </w:p>
    <w:p>
      <w:pPr>
        <w:numPr>
          <w:ilvl w:val="0"/>
          <w:numId w:val="1004"/>
        </w:numPr>
        <w:pStyle w:val="Compact"/>
      </w:pPr>
      <w:r>
        <w:t xml:space="preserve">Circular/Take-back Programs:</w:t>
      </w:r>
      <w:r>
        <w:t xml:space="preserve"> </w:t>
      </w:r>
      <w:r>
        <w:rPr>
          <w:bCs/>
          <w:b/>
        </w:rPr>
        <w:t xml:space="preserve">eqxupmoknu</w:t>
      </w:r>
    </w:p>
    <w:p>
      <w:pPr>
        <w:pStyle w:val="FirstParagraph"/>
      </w:pPr>
      <w:r>
        <w:t xml:space="preserve">For calculation purposes, we assume a recyclability percentage of 80% and that the circular/take-back programs successfully facilitate this recycling, leading to avoided emissions from virgin material production.</w:t>
      </w:r>
    </w:p>
    <w:bookmarkEnd w:id="33"/>
    <w:bookmarkStart w:id="34" w:name="emission-factors"/>
    <w:p>
      <w:pPr>
        <w:pStyle w:val="Heading3"/>
      </w:pPr>
      <w:r>
        <w:t xml:space="preserve">2.6. Emission Factors</w:t>
      </w:r>
    </w:p>
    <w:p>
      <w:pPr>
        <w:pStyle w:val="FirstParagraph"/>
      </w:pPr>
      <w:r>
        <w:t xml:space="preserve">Industry-standard emission factors are used for calculations where specific values are not provided in the BOM. These factors are primarily sourced from recognized databases such as Ecoinvent and DEFRA, which are regularly updated to reflect scientific findings and industry trends. For specific calculations, the following assumed emission factors are applied:</w:t>
      </w:r>
    </w:p>
    <w:p>
      <w:pPr>
        <w:numPr>
          <w:ilvl w:val="0"/>
          <w:numId w:val="1005"/>
        </w:numPr>
        <w:pStyle w:val="Compact"/>
      </w:pPr>
      <w:r>
        <w:t xml:space="preserve">China Grid Electricity: 0.5568 kg CO2e/kWh (Based on China\'s Ministry of Ecology and Environment 2021 data).</w:t>
      </w:r>
    </w:p>
    <w:p>
      <w:pPr>
        <w:numPr>
          <w:ilvl w:val="0"/>
          <w:numId w:val="1005"/>
        </w:numPr>
        <w:pStyle w:val="Compact"/>
      </w:pPr>
      <w:r>
        <w:t xml:space="preserve">European Grid Electricity (for Use Phase): 0.238 kg CO2e/kWh (Climatiq EU average).</w:t>
      </w:r>
    </w:p>
    <w:p>
      <w:pPr>
        <w:numPr>
          <w:ilvl w:val="0"/>
          <w:numId w:val="1005"/>
        </w:numPr>
        <w:pStyle w:val="Compact"/>
      </w:pPr>
      <w:r>
        <w:t xml:space="preserve">Renewable Electricity (residual emissions): 0.05 kg CO2e/kWh (Illustrative, accounting for upstream emissions in renewable energy generation).</w:t>
      </w:r>
    </w:p>
    <w:p>
      <w:pPr>
        <w:numPr>
          <w:ilvl w:val="0"/>
          <w:numId w:val="1005"/>
        </w:numPr>
        <w:pStyle w:val="Compact"/>
      </w:pPr>
      <w:r>
        <w:t xml:space="preserve">Heavy Goods Vehicle (HGV) Transport: 0.06 kg CO2e/tkm (Approximate European average for long-haul transport based on ACEA data).</w:t>
      </w:r>
    </w:p>
    <w:p>
      <w:pPr>
        <w:numPr>
          <w:ilvl w:val="0"/>
          <w:numId w:val="1005"/>
        </w:numPr>
        <w:pStyle w:val="Compact"/>
      </w:pPr>
      <w:r>
        <w:t xml:space="preserve">Light Commercial Vehicle (LCV) Transport (last-mile): 0.2 kg CO2e/tkm (Illustrative, LCVs often have higher per-tkm emissions due to lower load factors and urban driving patterns).</w:t>
      </w:r>
    </w:p>
    <w:p>
      <w:pPr>
        <w:numPr>
          <w:ilvl w:val="0"/>
          <w:numId w:val="1005"/>
        </w:numPr>
        <w:pStyle w:val="Compact"/>
      </w:pPr>
      <w:r>
        <w:t xml:space="preserve">Avoided emissions from recycling: 50% of virgin material emissions (Simplification based on general industry practice for avoided burden calculation).</w:t>
      </w:r>
    </w:p>
    <w:p>
      <w:r>
        <w:pict>
          <v:rect style="width:0;height:1.5pt" o:hralign="center" o:hrstd="t" o:hr="t"/>
        </w:pict>
      </w:r>
    </w:p>
    <w:bookmarkEnd w:id="34"/>
    <w:bookmarkEnd w:id="35"/>
    <w:bookmarkStart w:id="46" w:name="carbon-emission-calculation"/>
    <w:p>
      <w:pPr>
        <w:pStyle w:val="Heading2"/>
      </w:pPr>
      <w:r>
        <w:t xml:space="preserve">3. Carbon Emission Calculation</w:t>
      </w:r>
    </w:p>
    <w:p>
      <w:pPr>
        <w:pStyle w:val="FirstParagraph"/>
      </w:pPr>
      <w:r>
        <w:t xml:space="preserve">The total carbon footprint is calculated by summing the emissions from each lifecycle stage, categorized according to the GHG Protocol scopes.</w:t>
      </w:r>
    </w:p>
    <w:bookmarkStart w:id="36" w:name="ghg-protocol-scopes-breakdown"/>
    <w:p>
      <w:pPr>
        <w:pStyle w:val="Heading3"/>
      </w:pPr>
      <w:r>
        <w:t xml:space="preserve">3.1. GHG Protocol Scopes Breakdown</w:t>
      </w:r>
    </w:p>
    <w:p>
      <w:pPr>
        <w:pStyle w:val="FirstParagraph"/>
      </w:pPr>
      <w:r>
        <w:t xml:space="preserve">For ositmsxqss\'s product smhmsdrjuj, the emissions are categorized as follows:</w:t>
      </w:r>
    </w:p>
    <w:p>
      <w:pPr>
        <w:numPr>
          <w:ilvl w:val="0"/>
          <w:numId w:val="1006"/>
        </w:numPr>
        <w:pStyle w:val="Compact"/>
      </w:pPr>
      <w:r>
        <w:rPr>
          <w:bCs/>
          <w:b/>
        </w:rPr>
        <w:t xml:space="preserve">Scope 1: Direct Emissions</w:t>
      </w:r>
      <w:r>
        <w:t xml:space="preserve"> </w:t>
      </w:r>
      <w:r>
        <w:t xml:space="preserve">- No direct operational emissions are assumed for the production of the product within ositmsxqss\'s direct control, given the \'factory_gate\' system boundary for direct emissions and focus on purchased electricity for manufacturing. If direct fuel combustion occurred on-site, it would be included here.</w:t>
      </w:r>
    </w:p>
    <w:p>
      <w:pPr>
        <w:numPr>
          <w:ilvl w:val="0"/>
          <w:numId w:val="1006"/>
        </w:numPr>
        <w:pStyle w:val="Compact"/>
      </w:pPr>
      <w:r>
        <w:rPr>
          <w:bCs/>
          <w:b/>
        </w:rPr>
        <w:t xml:space="preserve">Scope 2: Purchased Energy Emissions</w:t>
      </w:r>
      <w:r>
        <w:t xml:space="preserve"> </w:t>
      </w:r>
      <w:r>
        <w:t xml:space="preserve">- Indirect emissions from the generation of purchased electricity for manufacturing.</w:t>
      </w:r>
    </w:p>
    <w:p>
      <w:pPr>
        <w:numPr>
          <w:ilvl w:val="0"/>
          <w:numId w:val="1006"/>
        </w:numPr>
        <w:pStyle w:val="Compact"/>
      </w:pPr>
      <w:r>
        <w:rPr>
          <w:bCs/>
          <w:b/>
        </w:rPr>
        <w:t xml:space="preserve">Scope 3: Value Chain Emissions</w:t>
      </w:r>
      <w:r>
        <w:t xml:space="preserve"> </w:t>
      </w:r>
      <w:r>
        <w:t xml:space="preserve">- All other indirect emissions, including those from raw material acquisition, upstream and downstream transportation, the product use phase, and end-of-life treatment.</w:t>
      </w:r>
    </w:p>
    <w:bookmarkEnd w:id="36"/>
    <w:bookmarkStart w:id="37" w:name="lsr-update-application"/>
    <w:p>
      <w:pPr>
        <w:pStyle w:val="Heading3"/>
      </w:pPr>
      <w:r>
        <w:t xml:space="preserve">3.2. 2026 LSR Update Application</w:t>
      </w:r>
    </w:p>
    <w:p>
      <w:pPr>
        <w:pStyle w:val="FirstParagraph"/>
      </w:pPr>
      <w:r>
        <w:t xml:space="preserve">The</w:t>
      </w:r>
      <w:r>
        <w:t xml:space="preserve"> </w:t>
      </w:r>
      <w:r>
        <w:rPr>
          <w:bCs/>
          <w:b/>
        </w:rPr>
        <w:t xml:space="preserve">GHG Protocol Land Sector and Removals (LSR) Standard v1.0</w:t>
      </w:r>
      <w:r>
        <w:t xml:space="preserve"> </w:t>
      </w:r>
      <w:r>
        <w:t xml:space="preserve">was released on January 30, 2026, and is set to take effect on January 1, 2027. While smhmsdrjuj, as a manufactured product, does not directly involve land-based activities or carbon removals in its core production, the LSR Standard\'s principles are considered. This includes acknowledging its importance for companies with significant land-based activities or those reporting CO2 removals, and ensuring future data collection aligns with its guidance on biogenic products and technological CO2 removals where applicable in the broader value chain. At this stage, no direct land use change or biogenic carbon removal impacts are explicitly quantified for this product due to its nature and the system boundary focus on manufactured goods.</w:t>
      </w:r>
    </w:p>
    <w:bookmarkEnd w:id="37"/>
    <w:bookmarkStart w:id="38" w:name="scope-3-compliance-2026-requirements"/>
    <w:p>
      <w:pPr>
        <w:pStyle w:val="Heading3"/>
      </w:pPr>
      <w:r>
        <w:t xml:space="preserve">3.3. Scope 3 Compliance (2026 Requirements)</w:t>
      </w:r>
    </w:p>
    <w:p>
      <w:pPr>
        <w:pStyle w:val="FirstParagraph"/>
      </w:pPr>
      <w:r>
        <w:t xml:space="preserve">As per the GHG Protocol\'s March 2026 progress update on Scope 3 Standard revisions, companies will need to account for and report at least</w:t>
      </w:r>
      <w:r>
        <w:t xml:space="preserve"> </w:t>
      </w:r>
      <w:r>
        <w:rPr>
          <w:bCs/>
          <w:b/>
        </w:rPr>
        <w:t xml:space="preserve">95% of total required Scope 3 emissions</w:t>
      </w:r>
      <w:r>
        <w:t xml:space="preserve">, with exclusions not exceeding 5% of required Scope 3 emissions. This analysis aims for comprehensive coverage of all relevant Scope 3 categories: Category 1 (Purchased Goods and Services - Materials), Category 4 (Upstream Transportation and Distribution), Category 9 (Downstream Transportation and Distribution), Category 11 (Use of Sold Products), and Category 12 (End-of-Life Treatment of Sold Products). Efforts have been made to ensure a high level of coverage by systematically addressing all identified value chain stages, acknowledging that a detailed assessment of every minor component or activity would require even more granular primary data.</w:t>
      </w:r>
    </w:p>
    <w:bookmarkEnd w:id="38"/>
    <w:bookmarkStart w:id="44" w:name="lifecycle-stage-emissions"/>
    <w:p>
      <w:pPr>
        <w:pStyle w:val="Heading3"/>
      </w:pPr>
      <w:r>
        <w:t xml:space="preserve">3.4. Lifecycle Stage Emissions</w:t>
      </w:r>
    </w:p>
    <w:bookmarkStart w:id="39" w:name="Xedeafe40bfb45179e8f5855108a838680728af8"/>
    <w:p>
      <w:pPr>
        <w:pStyle w:val="Heading4"/>
      </w:pPr>
      <w:r>
        <w:t xml:space="preserve">3.4.1. Raw Material Acquisition &amp; Processing (Scope 3)</w:t>
      </w:r>
    </w:p>
    <w:p>
      <w:pPr>
        <w:pStyle w:val="FirstParagraph"/>
      </w:pPr>
      <w:r>
        <w:t xml:space="preserve">Based on the provided BOM (jgvkgpke), the total carbon emissions from material acquisition and processing are already calculated for each item. Summing these values:</w:t>
      </w:r>
    </w:p>
    <w:p>
      <w:pPr>
        <w:numPr>
          <w:ilvl w:val="0"/>
          <w:numId w:val="1007"/>
        </w:numPr>
        <w:pStyle w:val="Compact"/>
      </w:pPr>
      <w:r>
        <w:t xml:space="preserve">Total Material Impact: 5.5 + 2.24 + 3.0 + 1.0 + 0.525 + 0.09 + 0.024 + 0.005 + 0.21 =</w:t>
      </w:r>
      <w:r>
        <w:t xml:space="preserve"> </w:t>
      </w:r>
      <w:r>
        <w:rPr>
          <w:bCs/>
          <w:b/>
        </w:rPr>
        <w:t xml:space="preserve">12.594 kg CO2e</w:t>
      </w:r>
    </w:p>
    <w:p>
      <w:pPr>
        <w:pStyle w:val="FirstParagraph"/>
      </w:pPr>
      <w:r>
        <w:t xml:space="preserve">This constitutes the upstream material footprint, predominantly categorized under GHG Protocol Scope 3, Category 1 (Purchased Goods and Services).</w:t>
      </w:r>
    </w:p>
    <w:bookmarkEnd w:id="39"/>
    <w:bookmarkStart w:id="40" w:name="manufacturing-scope-2"/>
    <w:p>
      <w:pPr>
        <w:pStyle w:val="Heading4"/>
      </w:pPr>
      <w:r>
        <w:t xml:space="preserve">3.4.2. Manufacturing (Scope 2)</w:t>
      </w:r>
    </w:p>
    <w:p>
      <w:pPr>
        <w:pStyle w:val="FirstParagraph"/>
      </w:pPr>
      <w:r>
        <w:t xml:space="preserve">The manufacturing process occurs in China, utilizing purchased electricity. Given the parameters:</w:t>
      </w:r>
    </w:p>
    <w:p>
      <w:pPr>
        <w:numPr>
          <w:ilvl w:val="0"/>
          <w:numId w:val="1008"/>
        </w:numPr>
        <w:pStyle w:val="Compact"/>
      </w:pPr>
      <w:r>
        <w:t xml:space="preserve">Energy Intensity: epguixvsdz (Assumed 100 kWh/unit)</w:t>
      </w:r>
    </w:p>
    <w:p>
      <w:pPr>
        <w:numPr>
          <w:ilvl w:val="0"/>
          <w:numId w:val="1008"/>
        </w:numPr>
        <w:pStyle w:val="Compact"/>
      </w:pPr>
      <w:r>
        <w:t xml:space="preserve">Renewable Energy Usage: zrzpjdirdn (Assumed 50%)</w:t>
      </w:r>
    </w:p>
    <w:p>
      <w:pPr>
        <w:numPr>
          <w:ilvl w:val="0"/>
          <w:numId w:val="1008"/>
        </w:numPr>
        <w:pStyle w:val="Compact"/>
      </w:pPr>
      <w:r>
        <w:t xml:space="preserve">China Grid Electricity Emission Factor: 0.5568 kg CO2e/kWh</w:t>
      </w:r>
    </w:p>
    <w:p>
      <w:pPr>
        <w:numPr>
          <w:ilvl w:val="0"/>
          <w:numId w:val="1008"/>
        </w:numPr>
        <w:pStyle w:val="Compact"/>
      </w:pPr>
      <w:r>
        <w:t xml:space="preserve">Renewable Electricity Emission Factor (Illustrative): 0.05 kg CO2e/kWh</w:t>
      </w:r>
    </w:p>
    <w:p>
      <w:pPr>
        <w:pStyle w:val="FirstParagraph"/>
      </w:pPr>
      <w:r>
        <w:t xml:space="preserve">Calculation:</w:t>
      </w:r>
    </w:p>
    <w:p>
      <w:pPr>
        <w:pStyle w:val="BodyText"/>
      </w:pPr>
      <w:r>
        <w:t xml:space="preserve">Emissions = (100 kWh * (1 - 0.50)) * 0.5568 kg CO2e/kWh + (100 kWh * 0.50) * 0.05 kg CO2e/kWh</w:t>
      </w:r>
    </w:p>
    <w:p>
      <w:pPr>
        <w:pStyle w:val="BodyText"/>
      </w:pPr>
      <w:r>
        <w:t xml:space="preserve">Emissions = (50 kWh * 0.5568) + (50 kWh * 0.05)</w:t>
      </w:r>
    </w:p>
    <w:p>
      <w:pPr>
        <w:pStyle w:val="BodyText"/>
      </w:pPr>
      <w:r>
        <w:t xml:space="preserve">Emissions = 27.84 kg CO2e + 2.5 kg CO2e</w:t>
      </w:r>
    </w:p>
    <w:p>
      <w:pPr>
        <w:pStyle w:val="BodyText"/>
      </w:pPr>
      <w:r>
        <w:t xml:space="preserve">Total Manufacturing Emissions =</w:t>
      </w:r>
      <w:r>
        <w:t xml:space="preserve"> </w:t>
      </w:r>
      <w:r>
        <w:rPr>
          <w:bCs/>
          <w:b/>
        </w:rPr>
        <w:t xml:space="preserve">30.34 kg CO2e</w:t>
      </w:r>
    </w:p>
    <w:p>
      <w:pPr>
        <w:pStyle w:val="BodyText"/>
      </w:pPr>
      <w:r>
        <w:t xml:space="preserve">This falls under GHG Protocol Scope 2 (Purchased Electricity).</w:t>
      </w:r>
    </w:p>
    <w:bookmarkEnd w:id="40"/>
    <w:bookmarkStart w:id="41" w:name="transport-scope-3"/>
    <w:p>
      <w:pPr>
        <w:pStyle w:val="Heading4"/>
      </w:pPr>
      <w:r>
        <w:t xml:space="preserve">3.4.3. Transport (Scope 3)</w:t>
      </w:r>
    </w:p>
    <w:p>
      <w:pPr>
        <w:pStyle w:val="FirstParagraph"/>
      </w:pPr>
      <w:r>
        <w:t xml:space="preserve">Transport includes both upstream delivery of materials to the factory and downstream distribution of the finished product to the customer. Total product weight for transport is 4.13 kg (0.00413 tonnes).</w:t>
      </w:r>
    </w:p>
    <w:p>
      <w:pPr>
        <w:numPr>
          <w:ilvl w:val="0"/>
          <w:numId w:val="1009"/>
        </w:numPr>
        <w:pStyle w:val="Compact"/>
      </w:pPr>
      <w:r>
        <w:t xml:space="preserve">Primary Transport Mode: Select Mode (Assumed Heavy Goods Vehicle - HGV)</w:t>
      </w:r>
    </w:p>
    <w:p>
      <w:pPr>
        <w:numPr>
          <w:ilvl w:val="0"/>
          <w:numId w:val="1009"/>
        </w:numPr>
        <w:pStyle w:val="Compact"/>
      </w:pPr>
      <w:r>
        <w:t xml:space="preserve">Primary Transport Distance: vqwjzmuxhx (Assumed 1500 km)</w:t>
      </w:r>
    </w:p>
    <w:p>
      <w:pPr>
        <w:numPr>
          <w:ilvl w:val="0"/>
          <w:numId w:val="1009"/>
        </w:numPr>
        <w:pStyle w:val="Compact"/>
      </w:pPr>
      <w:r>
        <w:t xml:space="preserve">HGV Emission Factor: 0.06 kg CO2e/tkm</w:t>
      </w:r>
    </w:p>
    <w:p>
      <w:pPr>
        <w:numPr>
          <w:ilvl w:val="0"/>
          <w:numId w:val="1009"/>
        </w:numPr>
        <w:pStyle w:val="Compact"/>
      </w:pPr>
      <w:r>
        <w:t xml:space="preserve">Last-Mile Delivery Channel: Delivery Type (Assumed Light Commercial Vehicle - LCV)</w:t>
      </w:r>
    </w:p>
    <w:p>
      <w:pPr>
        <w:numPr>
          <w:ilvl w:val="0"/>
          <w:numId w:val="1009"/>
        </w:numPr>
        <w:pStyle w:val="Compact"/>
      </w:pPr>
      <w:r>
        <w:t xml:space="preserve">Last-Mile Distance (Assumed): 100 km</w:t>
      </w:r>
    </w:p>
    <w:p>
      <w:pPr>
        <w:numPr>
          <w:ilvl w:val="0"/>
          <w:numId w:val="1009"/>
        </w:numPr>
        <w:pStyle w:val="Compact"/>
      </w:pPr>
      <w:r>
        <w:t xml:space="preserve">LCV Emission Factor: 0.2 kg CO2e/tkm</w:t>
      </w:r>
    </w:p>
    <w:p>
      <w:pPr>
        <w:pStyle w:val="FirstParagraph"/>
      </w:pPr>
      <w:r>
        <w:t xml:space="preserve">Calculation for Upstream/Downstream Transport:</w:t>
      </w:r>
    </w:p>
    <w:p>
      <w:pPr>
        <w:pStyle w:val="BodyText"/>
      </w:pPr>
      <w:r>
        <w:t xml:space="preserve">Emissions = Product Weight (tonnes) * [(Primary Distance * HGV EF) + (Last-Mile Distance * LCV EF)]</w:t>
      </w:r>
    </w:p>
    <w:p>
      <w:pPr>
        <w:pStyle w:val="BodyText"/>
      </w:pPr>
      <w:r>
        <w:t xml:space="preserve">Emissions = 0.00413 tonnes * [(1500 km * 0.06 kg CO2e/tkm) + (100 km * 0.2 kg CO2e/tkm)]</w:t>
      </w:r>
    </w:p>
    <w:p>
      <w:pPr>
        <w:pStyle w:val="BodyText"/>
      </w:pPr>
      <w:r>
        <w:t xml:space="preserve">Emissions = 0.00413 * [90 kg CO2e + 20 kg CO2e]</w:t>
      </w:r>
    </w:p>
    <w:p>
      <w:pPr>
        <w:pStyle w:val="BodyText"/>
      </w:pPr>
      <w:r>
        <w:t xml:space="preserve">Emissions = 0.00413 * 110 kg CO2e</w:t>
      </w:r>
    </w:p>
    <w:p>
      <w:pPr>
        <w:pStyle w:val="BodyText"/>
      </w:pPr>
      <w:r>
        <w:t xml:space="preserve">Total Transport Emissions =</w:t>
      </w:r>
      <w:r>
        <w:t xml:space="preserve"> </w:t>
      </w:r>
      <w:r>
        <w:rPr>
          <w:bCs/>
          <w:b/>
        </w:rPr>
        <w:t xml:space="preserve">0.4543 kg CO2e</w:t>
      </w:r>
    </w:p>
    <w:p>
      <w:pPr>
        <w:pStyle w:val="BodyText"/>
      </w:pPr>
      <w:r>
        <w:t xml:space="preserve">This falls under GHG Protocol Scope 3, Categories 4 (Upstream Transportation and Distribution) and 9 (Downstream Transportation and Distribution).</w:t>
      </w:r>
    </w:p>
    <w:bookmarkEnd w:id="41"/>
    <w:bookmarkStart w:id="42" w:name="use-phase-scope-3"/>
    <w:p>
      <w:pPr>
        <w:pStyle w:val="Heading4"/>
      </w:pPr>
      <w:r>
        <w:t xml:space="preserve">3.4.4. Use Phase (Scope 3)</w:t>
      </w:r>
    </w:p>
    <w:p>
      <w:pPr>
        <w:pStyle w:val="FirstParagraph"/>
      </w:pPr>
      <w:r>
        <w:t xml:space="preserve">The product\'s use phase is calculated based on its lifespan and energy consumption:</w:t>
      </w:r>
    </w:p>
    <w:p>
      <w:pPr>
        <w:numPr>
          <w:ilvl w:val="0"/>
          <w:numId w:val="1010"/>
        </w:numPr>
        <w:pStyle w:val="Compact"/>
      </w:pPr>
      <w:r>
        <w:t xml:space="preserve">Product Lifespan: dqoxovrqji (Assumed 5 years)</w:t>
      </w:r>
    </w:p>
    <w:p>
      <w:pPr>
        <w:numPr>
          <w:ilvl w:val="0"/>
          <w:numId w:val="1010"/>
        </w:numPr>
        <w:pStyle w:val="Compact"/>
      </w:pPr>
      <w:r>
        <w:t xml:space="preserve">Energy Consumption in Use: qqkfnlitnf (Assumed 20 kWh/year)</w:t>
      </w:r>
    </w:p>
    <w:p>
      <w:pPr>
        <w:numPr>
          <w:ilvl w:val="0"/>
          <w:numId w:val="1010"/>
        </w:numPr>
        <w:pStyle w:val="Compact"/>
      </w:pPr>
      <w:r>
        <w:t xml:space="preserve">European Grid Electricity Emission Factor: 0.238 kg CO2e/kWh</w:t>
      </w:r>
    </w:p>
    <w:p>
      <w:pPr>
        <w:pStyle w:val="FirstParagraph"/>
      </w:pPr>
      <w:r>
        <w:t xml:space="preserve">Calculation:</w:t>
      </w:r>
    </w:p>
    <w:p>
      <w:pPr>
        <w:pStyle w:val="BodyText"/>
      </w:pPr>
      <w:r>
        <w:t xml:space="preserve">Emissions = Energy Consumption (kWh/year) * Product Lifespan (years) * European Grid EF (kg CO2e/kWh)</w:t>
      </w:r>
    </w:p>
    <w:p>
      <w:pPr>
        <w:pStyle w:val="BodyText"/>
      </w:pPr>
      <w:r>
        <w:t xml:space="preserve">Emissions = 20 kWh/year * 5 years * 0.238 kg CO2e/kWh</w:t>
      </w:r>
    </w:p>
    <w:p>
      <w:pPr>
        <w:pStyle w:val="BodyText"/>
      </w:pPr>
      <w:r>
        <w:t xml:space="preserve">Emissions = 100 kWh * 0.238 kg CO2e/kWh</w:t>
      </w:r>
    </w:p>
    <w:p>
      <w:pPr>
        <w:pStyle w:val="BodyText"/>
      </w:pPr>
      <w:r>
        <w:t xml:space="preserve">Total Use Phase Emissions =</w:t>
      </w:r>
      <w:r>
        <w:t xml:space="preserve"> </w:t>
      </w:r>
      <w:r>
        <w:rPr>
          <w:bCs/>
          <w:b/>
        </w:rPr>
        <w:t xml:space="preserve">23.8 kg CO2e</w:t>
      </w:r>
    </w:p>
    <w:p>
      <w:pPr>
        <w:pStyle w:val="BodyText"/>
      </w:pPr>
      <w:r>
        <w:t xml:space="preserve">This falls under GHG Protocol Scope 3, Category 11 (Use of Sold Products).</w:t>
      </w:r>
    </w:p>
    <w:bookmarkEnd w:id="42"/>
    <w:bookmarkStart w:id="43" w:name="end-of-life-eol-scope-3"/>
    <w:p>
      <w:pPr>
        <w:pStyle w:val="Heading4"/>
      </w:pPr>
      <w:r>
        <w:t xml:space="preserve">3.4.5. End-of-Life (EoL) (Scope 3)</w:t>
      </w:r>
    </w:p>
    <w:p>
      <w:pPr>
        <w:pStyle w:val="FirstParagraph"/>
      </w:pPr>
      <w:r>
        <w:t xml:space="preserve">End-of-life impacts are assessed considering recyclability and circular programs:</w:t>
      </w:r>
    </w:p>
    <w:p>
      <w:pPr>
        <w:numPr>
          <w:ilvl w:val="0"/>
          <w:numId w:val="1011"/>
        </w:numPr>
        <w:pStyle w:val="Compact"/>
      </w:pPr>
      <w:r>
        <w:t xml:space="preserve">Recyclability Percentage: qoezyyuywt (Assumed 80%)</w:t>
      </w:r>
    </w:p>
    <w:p>
      <w:pPr>
        <w:numPr>
          <w:ilvl w:val="0"/>
          <w:numId w:val="1011"/>
        </w:numPr>
        <w:pStyle w:val="Compact"/>
      </w:pPr>
      <w:r>
        <w:t xml:space="preserve">Circular/Take-back Programs: eqxupmoknu (Assumed effective)</w:t>
      </w:r>
    </w:p>
    <w:p>
      <w:pPr>
        <w:numPr>
          <w:ilvl w:val="0"/>
          <w:numId w:val="1011"/>
        </w:numPr>
        <w:pStyle w:val="Compact"/>
      </w:pPr>
      <w:r>
        <w:t xml:space="preserve">Avoided Emissions from Recycling (Assumed): 50% of virgin material emissions for the recycled portion.</w:t>
      </w:r>
    </w:p>
    <w:p>
      <w:pPr>
        <w:pStyle w:val="FirstParagraph"/>
      </w:pPr>
      <w:r>
        <w:t xml:space="preserve">Calculation for avoided emissions:</w:t>
      </w:r>
    </w:p>
    <w:p>
      <w:pPr>
        <w:pStyle w:val="BodyText"/>
      </w:pPr>
      <w:r>
        <w:t xml:space="preserve">Avoided Emissions = - (Total Material Impact * Recyclability Percentage * Avoidance Factor)</w:t>
      </w:r>
    </w:p>
    <w:p>
      <w:pPr>
        <w:pStyle w:val="BodyText"/>
      </w:pPr>
      <w:r>
        <w:t xml:space="preserve">Avoided Emissions = - (12.594 kg CO2e * 0.80 * 0.50)</w:t>
      </w:r>
    </w:p>
    <w:p>
      <w:pPr>
        <w:pStyle w:val="BodyText"/>
      </w:pPr>
      <w:r>
        <w:t xml:space="preserve">Avoided Emissions = - (12.594 kg CO2e * 0.40)</w:t>
      </w:r>
    </w:p>
    <w:p>
      <w:pPr>
        <w:pStyle w:val="BodyText"/>
      </w:pPr>
      <w:r>
        <w:t xml:space="preserve">Total End-of-Life Impact =</w:t>
      </w:r>
      <w:r>
        <w:t xml:space="preserve"> </w:t>
      </w:r>
      <w:r>
        <w:rPr>
          <w:bCs/>
          <w:b/>
        </w:rPr>
        <w:t xml:space="preserve">-5.0376 kg CO2e</w:t>
      </w:r>
    </w:p>
    <w:p>
      <w:pPr>
        <w:pStyle w:val="BodyText"/>
      </w:pPr>
      <w:r>
        <w:t xml:space="preserve">This negative value represents a credit for avoided emissions due to recycling, falling under GHG Protocol Scope 3, Category 12 (End-of-Life Treatment of Sold Products).</w:t>
      </w:r>
    </w:p>
    <w:bookmarkEnd w:id="43"/>
    <w:bookmarkEnd w:id="44"/>
    <w:bookmarkStart w:id="45" w:name="total-product-carbon-footprint-pcf"/>
    <w:p>
      <w:pPr>
        <w:pStyle w:val="Heading3"/>
      </w:pPr>
      <w:r>
        <w:t xml:space="preserve">3.5. Total Product Carbon Footprint (PCF)</w:t>
      </w:r>
    </w:p>
    <w:p>
      <w:pPr>
        <w:pStyle w:val="FirstParagraph"/>
      </w:pPr>
      <w:r>
        <w:t xml:space="preserve">Summing up the emissions from each lifecycle stage:</w:t>
      </w:r>
    </w:p>
    <w:p>
      <w:pPr>
        <w:numPr>
          <w:ilvl w:val="0"/>
          <w:numId w:val="1012"/>
        </w:numPr>
        <w:pStyle w:val="Compact"/>
      </w:pPr>
      <w:r>
        <w:t xml:space="preserve">Raw Material Acquisition &amp; Processing: 12.594 kg CO2e</w:t>
      </w:r>
    </w:p>
    <w:p>
      <w:pPr>
        <w:numPr>
          <w:ilvl w:val="0"/>
          <w:numId w:val="1012"/>
        </w:numPr>
        <w:pStyle w:val="Compact"/>
      </w:pPr>
      <w:r>
        <w:t xml:space="preserve">Manufacturing: 30.34 kg CO2e</w:t>
      </w:r>
    </w:p>
    <w:p>
      <w:pPr>
        <w:numPr>
          <w:ilvl w:val="0"/>
          <w:numId w:val="1012"/>
        </w:numPr>
        <w:pStyle w:val="Compact"/>
      </w:pPr>
      <w:r>
        <w:t xml:space="preserve">Transport: 0.4543 kg CO2e</w:t>
      </w:r>
    </w:p>
    <w:p>
      <w:pPr>
        <w:numPr>
          <w:ilvl w:val="0"/>
          <w:numId w:val="1012"/>
        </w:numPr>
        <w:pStyle w:val="Compact"/>
      </w:pPr>
      <w:r>
        <w:t xml:space="preserve">Use Phase: 23.8 kg CO2e</w:t>
      </w:r>
    </w:p>
    <w:p>
      <w:pPr>
        <w:numPr>
          <w:ilvl w:val="0"/>
          <w:numId w:val="1012"/>
        </w:numPr>
        <w:pStyle w:val="Compact"/>
      </w:pPr>
      <w:r>
        <w:t xml:space="preserve">End-of-Life: -5.0376 kg CO2e</w:t>
      </w:r>
    </w:p>
    <w:p>
      <w:pPr>
        <w:pStyle w:val="FirstParagraph"/>
      </w:pPr>
      <w:r>
        <w:rPr>
          <w:bCs/>
          <w:b/>
        </w:rPr>
        <w:t xml:space="preserve">Total PCF for 1.0 unit of smhmsdrjuj = 12.594 + 30.34 + 0.4543 + 23.8 - 5.0376 = 62.1507 kg CO2e</w:t>
      </w:r>
    </w:p>
    <w:p>
      <w:r>
        <w:pict>
          <v:rect style="width:0;height:1.5pt" o:hralign="center" o:hrstd="t" o:hr="t"/>
        </w:pict>
      </w:r>
    </w:p>
    <w:bookmarkEnd w:id="45"/>
    <w:bookmarkEnd w:id="46"/>
    <w:bookmarkStart w:id="49" w:name="hotspots-and-recommendations"/>
    <w:p>
      <w:pPr>
        <w:pStyle w:val="Heading2"/>
      </w:pPr>
      <w:r>
        <w:t xml:space="preserve">4. Hotspots and Recommendations</w:t>
      </w:r>
    </w:p>
    <w:bookmarkStart w:id="47" w:name="emission-hotspots"/>
    <w:p>
      <w:pPr>
        <w:pStyle w:val="Heading3"/>
      </w:pPr>
      <w:r>
        <w:t xml:space="preserve">4.1. Emission Hotspots</w:t>
      </w:r>
    </w:p>
    <w:p>
      <w:pPr>
        <w:pStyle w:val="FirstParagraph"/>
      </w:pPr>
      <w:r>
        <w:t xml:space="preserve">The analysis identifies the following key emission hotspots for smhmsdrjuj:</w:t>
      </w:r>
    </w:p>
    <w:p>
      <w:pPr>
        <w:numPr>
          <w:ilvl w:val="0"/>
          <w:numId w:val="1013"/>
        </w:numPr>
        <w:pStyle w:val="Compact"/>
      </w:pPr>
      <w:r>
        <w:rPr>
          <w:bCs/>
          <w:b/>
        </w:rPr>
        <w:t xml:space="preserve">Manufacturing Phase (Scope 2):</w:t>
      </w:r>
      <w:r>
        <w:t xml:space="preserve"> </w:t>
      </w:r>
      <w:r>
        <w:t xml:space="preserve">At 30.34 kg CO2e, the energy consumption during production in China represents the largest single contributor to the product\'s footprint, primarily due to the carbon intensity of the regional grid.</w:t>
      </w:r>
    </w:p>
    <w:p>
      <w:pPr>
        <w:numPr>
          <w:ilvl w:val="0"/>
          <w:numId w:val="1013"/>
        </w:numPr>
        <w:pStyle w:val="Compact"/>
      </w:pPr>
      <w:r>
        <w:rPr>
          <w:bCs/>
          <w:b/>
        </w:rPr>
        <w:t xml:space="preserve">Use Phase (Scope 3):</w:t>
      </w:r>
      <w:r>
        <w:t xml:space="preserve"> </w:t>
      </w:r>
      <w:r>
        <w:t xml:space="preserve">The energy consumed during the product\'s lifespan contributes 23.8 kg CO2e, making it a significant hotspot, depending on the user\'s energy mix.</w:t>
      </w:r>
    </w:p>
    <w:p>
      <w:pPr>
        <w:numPr>
          <w:ilvl w:val="0"/>
          <w:numId w:val="1013"/>
        </w:numPr>
        <w:pStyle w:val="Compact"/>
      </w:pPr>
      <w:r>
        <w:rPr>
          <w:bCs/>
          <w:b/>
        </w:rPr>
        <w:t xml:space="preserve">Raw Material Acquisition &amp; Processing (Scope 3):</w:t>
      </w:r>
      <w:r>
        <w:t xml:space="preserve"> </w:t>
      </w:r>
      <w:r>
        <w:t xml:space="preserve">The impact from materials, totaling 12.594 kg CO2e, is also substantial, highlighting the embodied emissions in components like the Lithium-ion Battery and Steel Frame.</w:t>
      </w:r>
    </w:p>
    <w:p>
      <w:pPr>
        <w:numPr>
          <w:ilvl w:val="0"/>
          <w:numId w:val="1013"/>
        </w:numPr>
        <w:pStyle w:val="Compact"/>
      </w:pPr>
      <w:r>
        <w:rPr>
          <w:bCs/>
          <w:b/>
        </w:rPr>
        <w:t xml:space="preserve">Transport (Scope 3):</w:t>
      </w:r>
      <w:r>
        <w:t xml:space="preserve"> </w:t>
      </w:r>
      <w:r>
        <w:t xml:space="preserve">Transportation emissions are comparatively lower (0.4543 kg CO2e) but still a necessary consideration in the supply chain.</w:t>
      </w:r>
    </w:p>
    <w:bookmarkEnd w:id="47"/>
    <w:bookmarkStart w:id="48" w:name="recommendations-for-mitigation"/>
    <w:p>
      <w:pPr>
        <w:pStyle w:val="Heading3"/>
      </w:pPr>
      <w:r>
        <w:t xml:space="preserve">4.2. Recommendations for Mitigation</w:t>
      </w:r>
    </w:p>
    <w:p>
      <w:pPr>
        <w:numPr>
          <w:ilvl w:val="0"/>
          <w:numId w:val="1014"/>
        </w:numPr>
        <w:pStyle w:val="Compact"/>
      </w:pPr>
      <w:r>
        <w:rPr>
          <w:bCs/>
          <w:b/>
        </w:rPr>
        <w:t xml:space="preserve">Decarbonize Manufacturing Operations:</w:t>
      </w:r>
      <w:r>
        <w:t xml:space="preserve"> </w:t>
      </w:r>
      <w:r>
        <w:t xml:space="preserve">Focus on increasing the use of renewable energy beyond the current</w:t>
      </w:r>
      <w:r>
        <w:t xml:space="preserve"> </w:t>
      </w:r>
      <w:r>
        <w:rPr>
          <w:bCs/>
          <w:b/>
        </w:rPr>
        <w:t xml:space="preserve">zrzpjdirdn</w:t>
      </w:r>
      <w:r>
        <w:t xml:space="preserve"> </w:t>
      </w:r>
      <w:r>
        <w:t xml:space="preserve">(assumed 50%) for manufacturing in China. Invest in on-site renewables or procure high-quality renewable energy credits (RECs) with strong additionality. Explore opportunities to reduce overall energy intensity</w:t>
      </w:r>
      <w:r>
        <w:t xml:space="preserve"> </w:t>
      </w:r>
      <w:r>
        <w:rPr>
          <w:bCs/>
          <w:b/>
        </w:rPr>
        <w:t xml:space="preserve">epguixvsdz</w:t>
      </w:r>
      <w:r>
        <w:t xml:space="preserve"> </w:t>
      </w:r>
      <w:r>
        <w:t xml:space="preserve">through process optimization and energy-efficient machinery.</w:t>
      </w:r>
    </w:p>
    <w:p>
      <w:pPr>
        <w:numPr>
          <w:ilvl w:val="0"/>
          <w:numId w:val="1014"/>
        </w:numPr>
        <w:pStyle w:val="Compact"/>
      </w:pPr>
      <w:r>
        <w:rPr>
          <w:bCs/>
          <w:b/>
        </w:rPr>
        <w:t xml:space="preserve">Improve Product Energy Efficiency (Use Phase):</w:t>
      </w:r>
      <w:r>
        <w:t xml:space="preserve"> </w:t>
      </w:r>
      <w:r>
        <w:t xml:space="preserve">For future iterations of smhmsdrjuj, prioritize design for energy efficiency to reduce the</w:t>
      </w:r>
      <w:r>
        <w:t xml:space="preserve"> </w:t>
      </w:r>
      <w:r>
        <w:rPr>
          <w:bCs/>
          <w:b/>
        </w:rPr>
        <w:t xml:space="preserve">qqkfnlitnf</w:t>
      </w:r>
      <w:r>
        <w:t xml:space="preserve"> </w:t>
      </w:r>
      <w:r>
        <w:t xml:space="preserve">(assumed 20 kWh/year) during its</w:t>
      </w:r>
      <w:r>
        <w:t xml:space="preserve"> </w:t>
      </w:r>
      <w:r>
        <w:rPr>
          <w:bCs/>
          <w:b/>
        </w:rPr>
        <w:t xml:space="preserve">dqoxovrqji</w:t>
      </w:r>
      <w:r>
        <w:t xml:space="preserve"> </w:t>
      </w:r>
      <w:r>
        <w:t xml:space="preserve">(assumed 5 years) lifespan. This would significantly reduce the largest value chain emission.</w:t>
      </w:r>
    </w:p>
    <w:p>
      <w:pPr>
        <w:numPr>
          <w:ilvl w:val="0"/>
          <w:numId w:val="1014"/>
        </w:numPr>
        <w:pStyle w:val="Compact"/>
      </w:pPr>
      <w:r>
        <w:rPr>
          <w:bCs/>
          <w:b/>
        </w:rPr>
        <w:t xml:space="preserve">Optimize Material Sourcing &amp; Design:</w:t>
      </w:r>
      <w:r>
        <w:t xml:space="preserve"> </w:t>
      </w:r>
      <w:r>
        <w:t xml:space="preserve">Investigate alternative, lower-carbon materials for high-impact components, particularly the Lithium-ion Battery and Steel Frame. Work with suppliers to understand and reduce the embodied carbon of purchased goods, promoting materials with lower emission factors at the source.</w:t>
      </w:r>
    </w:p>
    <w:p>
      <w:pPr>
        <w:numPr>
          <w:ilvl w:val="0"/>
          <w:numId w:val="1014"/>
        </w:numPr>
        <w:pStyle w:val="Compact"/>
      </w:pPr>
      <w:r>
        <w:rPr>
          <w:bCs/>
          <w:b/>
        </w:rPr>
        <w:t xml:space="preserve">Enhance Circularity &amp; End-of-Life Management:</w:t>
      </w:r>
      <w:r>
        <w:t xml:space="preserve"> </w:t>
      </w:r>
      <w:r>
        <w:t xml:space="preserve">Leverage and expand</w:t>
      </w:r>
      <w:r>
        <w:t xml:space="preserve"> </w:t>
      </w:r>
      <w:r>
        <w:rPr>
          <w:bCs/>
          <w:b/>
        </w:rPr>
        <w:t xml:space="preserve">eqxupmoknu</w:t>
      </w:r>
      <w:r>
        <w:t xml:space="preserve"> </w:t>
      </w:r>
      <w:r>
        <w:t xml:space="preserve">(Circular/Take-back Programs) to maximize the actual recycling rate beyond</w:t>
      </w:r>
      <w:r>
        <w:t xml:space="preserve"> </w:t>
      </w:r>
      <w:r>
        <w:rPr>
          <w:bCs/>
          <w:b/>
        </w:rPr>
        <w:t xml:space="preserve">qoezyyuywt</w:t>
      </w:r>
      <w:r>
        <w:t xml:space="preserve"> </w:t>
      </w:r>
      <w:r>
        <w:t xml:space="preserve">(assumed 80%) and ensure high-quality material recovery, further increasing avoided emissions. Design for disassembly and material purity to facilitate effective recycling.</w:t>
      </w:r>
    </w:p>
    <w:p>
      <w:pPr>
        <w:numPr>
          <w:ilvl w:val="0"/>
          <w:numId w:val="1014"/>
        </w:numPr>
        <w:pStyle w:val="Compact"/>
      </w:pPr>
      <w:r>
        <w:rPr>
          <w:bCs/>
          <w:b/>
        </w:rPr>
        <w:t xml:space="preserve">Optimize Logistics:</w:t>
      </w:r>
      <w:r>
        <w:t xml:space="preserve"> </w:t>
      </w:r>
      <w:r>
        <w:t xml:space="preserve">While transport is not the largest hotspot, explore opportunities to optimize routes, consolidate shipments, and shift to lower-emission transport modes (e.g., rail over road where feasible in Europe-focused supply chains) for both upstream and downstream logistics (</w:t>
      </w:r>
      <w:r>
        <w:rPr>
          <w:bCs/>
          <w:b/>
        </w:rPr>
        <w:t xml:space="preserve">Select Mode, vqwjzmuxhx, Delivery Type</w:t>
      </w:r>
      <w:r>
        <w:t xml:space="preserve">).</w:t>
      </w:r>
    </w:p>
    <w:p>
      <w:r>
        <w:pict>
          <v:rect style="width:0;height:1.5pt" o:hralign="center" o:hrstd="t" o:hr="t"/>
        </w:pict>
      </w:r>
    </w:p>
    <w:bookmarkEnd w:id="48"/>
    <w:bookmarkEnd w:id="49"/>
    <w:bookmarkStart w:id="50" w:name="data-reliability-limitations"/>
    <w:p>
      <w:pPr>
        <w:pStyle w:val="Heading2"/>
      </w:pPr>
      <w:r>
        <w:t xml:space="preserve">5. Data Reliability &amp; Limitations</w:t>
      </w:r>
    </w:p>
    <w:p>
      <w:pPr>
        <w:pStyle w:val="FirstParagraph"/>
      </w:pPr>
      <w:r>
        <w:t xml:space="preserve">This report relies on a combination of primary data provided by ositmsxqss (through the BOM) and secondary, industry-average emission factors (e.g., from Ecoinvent and DEFRA databases). While the BOM provides specific carbon values for materials, several parameters were provided as placeholder strings (e.g.,</w:t>
      </w:r>
      <w:r>
        <w:t xml:space="preserve"> </w:t>
      </w:r>
      <w:r>
        <w:rPr>
          <w:bCs/>
          <w:b/>
        </w:rPr>
        <w:t xml:space="preserve">Select Mode, vqwjzmuxhx, zrzpjdirdn, epguixvsdz, dqoxovrqji, qqkfnlitnf, qoezyyuywt, eqxupmoknu</w:t>
      </w:r>
      <w:r>
        <w:t xml:space="preserve">). For the purpose of calculation, numerical assumptions were made for these placeholders, as explicitly stated in Section 3. These assumptions introduce a degree of uncertainty into the final PCF. To enhance the accuracy and reliability of future assessments, it is recommended to:</w:t>
      </w:r>
    </w:p>
    <w:p>
      <w:pPr>
        <w:numPr>
          <w:ilvl w:val="0"/>
          <w:numId w:val="1015"/>
        </w:numPr>
        <w:pStyle w:val="Compact"/>
      </w:pPr>
      <w:r>
        <w:t xml:space="preserve">Collect quantitative primary data for all placeholder parameters, including actual transport distances, modes, last-mile delivery details, precise renewable energy procurement, and verified energy consumption figures for both production and the use phase.</w:t>
      </w:r>
    </w:p>
    <w:p>
      <w:pPr>
        <w:numPr>
          <w:ilvl w:val="0"/>
          <w:numId w:val="1015"/>
        </w:numPr>
        <w:pStyle w:val="Compact"/>
      </w:pPr>
      <w:r>
        <w:t xml:space="preserve">Obtain supplier-specific emission factors for materials and components where available, rather than relying solely on generic industry averages.</w:t>
      </w:r>
    </w:p>
    <w:p>
      <w:pPr>
        <w:numPr>
          <w:ilvl w:val="0"/>
          <w:numId w:val="1015"/>
        </w:numPr>
        <w:pStyle w:val="Compact"/>
      </w:pPr>
      <w:r>
        <w:t xml:space="preserve">Conduct a third-party verification of the PCF data and methodology to further validate the results, especially in light of the proposed GHG Protocol Scope 3 revisions emphasizing data quality and verification disclosure.</w:t>
      </w:r>
    </w:p>
    <w:p>
      <w:pPr>
        <w:pStyle w:val="FirstParagraph"/>
      </w:pPr>
      <w:r>
        <w:t xml:space="preserve">The system boundary of "factory_gate" for direct operational emissions, combined with a full value chain assessment for Scope 3, provides a comprehensive view. However, the exact partitioning of upstream/downstream activities can be complex, and consistent application of allocation rules is crucial.</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smhmsdrjuj</dc:title>
  <dc:creator/>
  <dc:description>Detailed Product Carbon Footprint (PCF) analysis report for product smhmsdrjuj, performed by Senior Sustainability Consultant sfwrqwkwoh for ositmsxqss, adhering to GHG Protocol standards and 2026 updates.</dc:description>
  <dc:language>en</dc:language>
  <cp:keywords/>
  <dcterms:created xsi:type="dcterms:W3CDTF">2026-07-16T03:29:54Z</dcterms:created>
  <dcterms:modified xsi:type="dcterms:W3CDTF">2026-07-16T03:29:54Z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