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Widget</w:t>
      </w:r>
      <w:r>
        <w:t xml:space="preserve"> </w:t>
      </w:r>
      <w:r>
        <w:t xml:space="preserve">Pro</w:t>
      </w:r>
      <w:r>
        <w:t xml:space="preserve"> </w:t>
      </w:r>
      <w:r>
        <w:t xml:space="preserve">(tttzexepvg)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Smart Widget Pro (tttzexepvg)</w:t>
      </w:r>
    </w:p>
    <w:p>
      <w:pPr>
        <w:pStyle w:val="BodyText"/>
      </w:pPr>
      <w:r>
        <w:t xml:space="preserve">Company:</w:t>
      </w:r>
      <w:r>
        <w:t xml:space="preserve"> </w:t>
      </w:r>
      <w:r>
        <w:rPr>
          <w:bCs/>
          <w:b/>
        </w:rPr>
        <w:t xml:space="preserve">luldfejvwp</w:t>
      </w:r>
    </w:p>
    <w:p>
      <w:pPr>
        <w:pStyle w:val="BodyText"/>
      </w:pPr>
      <w:r>
        <w:t xml:space="preserve">Senior Sustainability Consultant:</w:t>
      </w:r>
      <w:r>
        <w:t xml:space="preserve"> </w:t>
      </w:r>
      <w:r>
        <w:rPr>
          <w:bCs/>
          <w:b/>
        </w:rPr>
        <w:t xml:space="preserve">pqvktdgjhd</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All calculations and conclusions are illustrative, as specific input parameters were provided as placeholders and have been substituted with representative data for demonstration purposes. Actual results may vary with primary data.</w:t>
      </w:r>
    </w:p>
    <w:bookmarkEnd w:id="20"/>
    <w:bookmarkStart w:id="49"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"Smart Widget Pro (tttzexepvg)", manufactured by luldfejvwp. The analysis adheres to the Greenhouse Gas (GHG) Protocol standards, incorporating the latest 2026 Land Sector and Removals (LSR) update and ensuring at least 95% coverage for Scope 3 emissions. The goal is to quantify the lifecycle greenhouse gas emissions (expressed in CO2e) associated with the product, identify emission hotspots, and provide insights for decarbonization efforts. While actual input data was provided as placeholders, illustrative data has been used to demonstrate the methodology and calculation process rigorously.</w:t>
      </w:r>
    </w:p>
    <w:p>
      <w:r>
        <w:pict>
          <v:rect style="width:0;height:1.5pt" o:hralign="center" o:hrstd="t" o:hr="t"/>
        </w:pict>
      </w:r>
    </w:p>
    <w:bookmarkEnd w:id="21"/>
    <w:bookmarkStart w:id="27" w:name="scope-definition"/>
    <w:p>
      <w:pPr>
        <w:pStyle w:val="Heading2"/>
      </w:pPr>
      <w:r>
        <w:t xml:space="preserve">1. Scope Definition</w:t>
      </w:r>
    </w:p>
    <w:p>
      <w:pPr>
        <w:pStyle w:val="FirstParagraph"/>
      </w:pPr>
      <w:r>
        <w:t xml:space="preserve">This section outlines the foundational parameters for the Product Carbon Footprint analysis, ensuring clarity and consistency in the assessment.</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Smart Widget Pro (tttzexepvg)</w:t>
      </w:r>
      <w:r>
        <w:t xml:space="preserve">.</w:t>
      </w:r>
    </w:p>
    <w:p>
      <w:pPr>
        <w:pStyle w:val="BodyText"/>
      </w:pPr>
      <w:r>
        <w:t xml:space="preserve">This unit serves as the reference basis to which all input and output data are normalized, allowing for comparability of environmental impacts.</w:t>
      </w:r>
    </w:p>
    <w:bookmarkEnd w:id="22"/>
    <w:bookmarkStart w:id="23" w:name="system-boundary"/>
    <w:p>
      <w:pPr>
        <w:pStyle w:val="Heading3"/>
      </w:pPr>
      <w:r>
        <w:t xml:space="preserve">1.2 System Boundary</w:t>
      </w:r>
    </w:p>
    <w:p>
      <w:pPr>
        <w:pStyle w:val="FirstParagraph"/>
      </w:pPr>
      <w:r>
        <w:t xml:space="preserve">The system boundary for this analysis is "</w:t>
      </w:r>
      <w:r>
        <w:rPr>
          <w:bCs/>
          <w:b/>
        </w:rPr>
        <w:t xml:space="preserve">factory_gate</w:t>
      </w:r>
      <w:r>
        <w:t xml:space="preserve">," encompassing a cradle-to-gate assessment. This means the analysis includes all processes from raw material extraction, through manufacturing, up to the point the finished product leaves the manufacturing facility. It also extends to cover downstream impacts like transportation to the customer, the use phase, and end-of-life, as per the detailed parameters provided.</w:t>
      </w:r>
    </w:p>
    <w:p>
      <w:pPr>
        <w:numPr>
          <w:ilvl w:val="0"/>
          <w:numId w:val="1001"/>
        </w:numPr>
        <w:pStyle w:val="Compact"/>
      </w:pPr>
      <w:r>
        <w:rPr>
          <w:bCs/>
          <w:b/>
        </w:rPr>
        <w:t xml:space="preserve">Upstream (Cradle-to-Gate):</w:t>
      </w:r>
      <w:r>
        <w:t xml:space="preserve"> </w:t>
      </w:r>
      <w:r>
        <w:t xml:space="preserve">Raw material extraction, processing, component manufacturing, and their transportation to the factory, as well as energy consumed during the production of the Smart Widget Pro.</w:t>
      </w:r>
    </w:p>
    <w:p>
      <w:pPr>
        <w:numPr>
          <w:ilvl w:val="0"/>
          <w:numId w:val="1001"/>
        </w:numPr>
        <w:pStyle w:val="Compact"/>
      </w:pPr>
      <w:r>
        <w:rPr>
          <w:bCs/>
          <w:b/>
        </w:rPr>
        <w:t xml:space="preserve">Downstream (Gate-to-Grave):</w:t>
      </w:r>
      <w:r>
        <w:t xml:space="preserve"> </w:t>
      </w:r>
      <w:r>
        <w:t xml:space="preserve">Transportation of the finished product to the customer, the product\'s energy consumption during its use phase, and its end-of-life treatment.</w:t>
      </w:r>
    </w:p>
    <w:bookmarkEnd w:id="23"/>
    <w:bookmarkStart w:id="24" w:name="geographic-scope"/>
    <w:p>
      <w:pPr>
        <w:pStyle w:val="Heading3"/>
      </w:pPr>
      <w:r>
        <w:t xml:space="preserve">1.3 Geographic Scope</w:t>
      </w:r>
    </w:p>
    <w:p>
      <w:pPr>
        <w:pStyle w:val="FirstParagraph"/>
      </w:pPr>
      <w:r>
        <w:t xml:space="preserve">The geographic scope focuses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 sourcing and final market distribution)</w:t>
      </w:r>
    </w:p>
    <w:p>
      <w:pPr>
        <w:pStyle w:val="FirstParagraph"/>
      </w:pPr>
      <w:r>
        <w:t xml:space="preserve">This geographic focus is crucial for selecting appropriate regional emission factors for energy grids and transportation.</w:t>
      </w:r>
    </w:p>
    <w:bookmarkEnd w:id="24"/>
    <w:bookmarkStart w:id="25" w:name="accounting-standard"/>
    <w:p>
      <w:pPr>
        <w:pStyle w:val="Heading3"/>
      </w:pPr>
      <w:r>
        <w:t xml:space="preserve">1.4 Accounting Standard</w:t>
      </w:r>
    </w:p>
    <w:p>
      <w:pPr>
        <w:pStyle w:val="FirstParagraph"/>
      </w:pPr>
      <w:r>
        <w:t xml:space="preserve">The Product Carbon Footprint analysis adheres strictly to the</w:t>
      </w:r>
      <w:r>
        <w:t xml:space="preserve"> </w:t>
      </w:r>
      <w:r>
        <w:rPr>
          <w:bCs/>
          <w:b/>
        </w:rPr>
        <w:t xml:space="preserve">GHG Protocol</w:t>
      </w:r>
      <w:r>
        <w:t xml:space="preserve"> </w:t>
      </w:r>
      <w:r>
        <w:t xml:space="preserve">standards. This includes categorization of emissions into Scope 1 (direct), Scope 2 (purchased energy), and Scope 3 (value chain). Special attention has been given to the 2026 updates, particularly the Land Sector and Removals (LSR) Standard and the enhanced Scope 3 reporting requirements.</w:t>
      </w:r>
    </w:p>
    <w:bookmarkEnd w:id="25"/>
    <w:bookmarkStart w:id="26" w:name="allocation"/>
    <w:p>
      <w:pPr>
        <w:pStyle w:val="Heading3"/>
      </w:pPr>
      <w:r>
        <w:t xml:space="preserve">1.5 Allocation</w:t>
      </w:r>
    </w:p>
    <w:p>
      <w:pPr>
        <w:pStyle w:val="FirstParagraph"/>
      </w:pPr>
      <w:r>
        <w:t xml:space="preserve">For this single-product analysis, allocation is straightforward as there are no co-products or significant by-products requiring complex allocation rules. All impacts are directly attributed to the functional unit.</w:t>
      </w:r>
    </w:p>
    <w:p>
      <w:r>
        <w:pict>
          <v:rect style="width:0;height:1.5pt" o:hralign="center" o:hrstd="t" o:hr="t"/>
        </w:pict>
      </w:r>
    </w:p>
    <w:bookmarkEnd w:id="26"/>
    <w:bookmarkEnd w:id="27"/>
    <w:bookmarkStart w:id="33" w:name="lifecycle-mapping-lci-data-collection"/>
    <w:p>
      <w:pPr>
        <w:pStyle w:val="Heading2"/>
      </w:pPr>
      <w:r>
        <w:t xml:space="preserve">2. &amp; 3. Lifecycle Mapping (LCI) &amp; Data Collection</w:t>
      </w:r>
    </w:p>
    <w:p>
      <w:pPr>
        <w:pStyle w:val="FirstParagraph"/>
      </w:pPr>
      <w:r>
        <w:t xml:space="preserve">This section details the lifecycle stages considered and the data points collected, including illustrative data for the provided placeholders. Industry-standard emission factors are used where specific values were not provided or to augment placeholder data.</w:t>
      </w:r>
    </w:p>
    <w:bookmarkStart w:id="28" w:name="Xadf255fa82a3b140df331a98f758f50a2535df8"/>
    <w:p>
      <w:pPr>
        <w:pStyle w:val="Heading3"/>
      </w:pPr>
      <w:r>
        <w:t xml:space="preserve">2.1 Bill of Materials (BOM) &amp; Material Inputs (Scope 3 - Upstream)</w:t>
      </w:r>
    </w:p>
    <w:p>
      <w:pPr>
        <w:pStyle w:val="FirstParagraph"/>
      </w:pPr>
      <w:r>
        <w:t xml:space="preserve">The detailed Bill of Materials (rdrnrnvr) provides specific data for high-accuracy material impact calculation. The following illustrative BOM data has been used: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c>
          <w:tcPr/>
          <w:p>
            <w:pPr>
              <w:pStyle w:val="Compact"/>
            </w:pP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4.5</w:t>
            </w:r>
          </w:p>
        </w:tc>
        <w:tc>
          <w:tcPr/>
          <w:p>
            <w:pPr>
              <w:pStyle w:val="Compact"/>
              <w:jc w:val="left"/>
            </w:pPr>
            <w:r>
              <w:t xml:space="preserve">2.25</w:t>
            </w:r>
          </w:p>
        </w:tc>
        <w:tc>
          <w:tcPr/>
          <w:p>
            <w:pPr>
              <w:pStyle w:val="Compact"/>
            </w:pP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2.8</w:t>
            </w:r>
          </w:p>
        </w:tc>
        <w:tc>
          <w:tcPr/>
          <w:p>
            <w:pPr>
              <w:pStyle w:val="Compact"/>
              <w:jc w:val="left"/>
            </w:pPr>
            <w:r>
              <w:t xml:space="preserve">0.84</w:t>
            </w:r>
          </w:p>
        </w:tc>
        <w:tc>
          <w:tcPr/>
          <w:p>
            <w:pPr>
              <w:pStyle w:val="Compact"/>
            </w:pP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15.0</w:t>
            </w:r>
          </w:p>
        </w:tc>
        <w:tc>
          <w:tcPr/>
          <w:p>
            <w:pPr>
              <w:pStyle w:val="Compact"/>
              <w:jc w:val="left"/>
            </w:pPr>
            <w:r>
              <w:t xml:space="preserve">1.50</w:t>
            </w:r>
          </w:p>
        </w:tc>
        <w:tc>
          <w:tcPr/>
          <w:p>
            <w:pPr>
              <w:pStyle w:val="Compact"/>
            </w:pP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25.0</w:t>
            </w:r>
          </w:p>
        </w:tc>
        <w:tc>
          <w:tcPr/>
          <w:p>
            <w:pPr>
              <w:pStyle w:val="Compact"/>
              <w:jc w:val="left"/>
            </w:pPr>
            <w:r>
              <w:t xml:space="preserve">1.25</w:t>
            </w:r>
          </w:p>
        </w:tc>
        <w:tc>
          <w:tcPr/>
          <w:p>
            <w:pPr>
              <w:pStyle w:val="Compact"/>
            </w:pP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3.2</w:t>
            </w:r>
          </w:p>
        </w:tc>
        <w:tc>
          <w:tcPr/>
          <w:p>
            <w:pPr>
              <w:pStyle w:val="Compact"/>
              <w:jc w:val="left"/>
            </w:pPr>
            <w:r>
              <w:t xml:space="preserve">0.064</w:t>
            </w:r>
          </w:p>
        </w:tc>
        <w:tc>
          <w:tcPr/>
          <w:p>
            <w:pPr>
              <w:pStyle w:val="Compact"/>
            </w:pPr>
          </w:p>
        </w:tc>
      </w:tr>
      <w:tr>
        <w:tc>
          <w:tcPr>
            <w:gridSpan w:val="5"/>
          </w:tcPr>
          <w:p>
            <w:pPr>
              <w:pStyle w:val="Compact"/>
              <w:jc w:val="right"/>
            </w:pPr>
            <w:r>
              <w:rPr>
                <w:bCs/>
                <w:b/>
              </w:rPr>
              <w:t xml:space="preserve">Total Material Weight:</w:t>
            </w:r>
          </w:p>
        </w:tc>
        <w:tc>
          <w:tcPr/>
          <w:p>
            <w:pPr>
              <w:pStyle w:val="Compact"/>
              <w:jc w:val="left"/>
            </w:pPr>
            <w:r>
              <w:rPr>
                <w:bCs/>
                <w:b/>
              </w:rPr>
              <w:t xml:space="preserve">1.07 kg</w:t>
            </w:r>
          </w:p>
        </w:tc>
        <w:tc>
          <w:tcPr/>
          <w:p>
            <w:pPr>
              <w:pStyle w:val="Compact"/>
              <w:jc w:val="left"/>
            </w:pPr>
            <w:r>
              <w:rPr>
                <w:bCs/>
                <w:b/>
              </w:rPr>
              <w:t xml:space="preserve">Total Material Emissions:</w:t>
            </w:r>
          </w:p>
        </w:tc>
        <w:tc>
          <w:tcPr/>
          <w:p>
            <w:pPr>
              <w:pStyle w:val="Compact"/>
              <w:jc w:val="left"/>
            </w:pPr>
            <w:r>
              <w:rPr>
                <w:bCs/>
                <w:b/>
              </w:rPr>
              <w:t xml:space="preserve">5.904 kgCO2e</w:t>
            </w:r>
          </w:p>
        </w:tc>
      </w:tr>
    </w:tbl>
    <w:bookmarkEnd w:id="28"/>
    <w:bookmarkStart w:id="29" w:name="production-energy-inputs-scope-2"/>
    <w:p>
      <w:pPr>
        <w:pStyle w:val="Heading3"/>
      </w:pPr>
      <w:r>
        <w:t xml:space="preserve">2.2 Production Energy Inputs (Scope 2)</w:t>
      </w:r>
    </w:p>
    <w:p>
      <w:pPr>
        <w:pStyle w:val="FirstParagraph"/>
      </w:pPr>
      <w:r>
        <w:t xml:space="preserve">The production phase for tttzexepvg takes place in China. Energy customization data is used for the production footprint:</w:t>
      </w:r>
    </w:p>
    <w:p>
      <w:pPr>
        <w:numPr>
          <w:ilvl w:val="0"/>
          <w:numId w:val="1003"/>
        </w:numPr>
        <w:pStyle w:val="Compact"/>
      </w:pPr>
      <w:r>
        <w:rPr>
          <w:bCs/>
          <w:b/>
        </w:rPr>
        <w:t xml:space="preserve">Energy Intensity (kWh/unit - qmpdjpvuxp):</w:t>
      </w:r>
      <w:r>
        <w:t xml:space="preserve"> </w:t>
      </w:r>
      <w:r>
        <w:t xml:space="preserve">5.0 kWh/unit</w:t>
      </w:r>
    </w:p>
    <w:p>
      <w:pPr>
        <w:numPr>
          <w:ilvl w:val="0"/>
          <w:numId w:val="1003"/>
        </w:numPr>
        <w:pStyle w:val="Compact"/>
      </w:pPr>
      <w:r>
        <w:rPr>
          <w:bCs/>
          <w:b/>
        </w:rPr>
        <w:t xml:space="preserve">Renewable Energy Usage (rtjpqjupwl):</w:t>
      </w:r>
      <w:r>
        <w:t xml:space="preserve"> </w:t>
      </w:r>
      <w:r>
        <w:t xml:space="preserve">70%</w:t>
      </w:r>
    </w:p>
    <w:p>
      <w:pPr>
        <w:numPr>
          <w:ilvl w:val="0"/>
          <w:numId w:val="1003"/>
        </w:numPr>
        <w:pStyle w:val="Compact"/>
      </w:pPr>
      <w:r>
        <w:rPr>
          <w:bCs/>
          <w:b/>
        </w:rPr>
        <w:t xml:space="preserve">Non-Renewable Energy Usage:</w:t>
      </w:r>
      <w:r>
        <w:t xml:space="preserve"> </w:t>
      </w:r>
      <w:r>
        <w:t xml:space="preserve">30%</w:t>
      </w:r>
    </w:p>
    <w:p>
      <w:pPr>
        <w:pStyle w:val="FirstParagraph"/>
      </w:pPr>
      <w:r>
        <w:t xml:space="preserve">For the non-renewable portion, an illustrative China grid emission factor of 0.577 kgCO2e/kWh is applied, based on recent data for electricity generated in China. This takes into account the fossil fuel heavy mix of the Chinese grid.</w:t>
      </w:r>
    </w:p>
    <w:bookmarkEnd w:id="29"/>
    <w:bookmarkStart w:id="30" w:name="X9795cd1974d18f66faafdaafe7a0219ede81315"/>
    <w:p>
      <w:pPr>
        <w:pStyle w:val="Heading3"/>
      </w:pPr>
      <w:r>
        <w:t xml:space="preserve">2.3 Transport Logistics (Scope 3 - Upstream &amp; Downstream)</w:t>
      </w:r>
    </w:p>
    <w:p>
      <w:pPr>
        <w:pStyle w:val="FirstParagraph"/>
      </w:pPr>
      <w:r>
        <w:t xml:space="preserve">Specific logistics data has been incorporated:</w:t>
      </w:r>
    </w:p>
    <w:p>
      <w:pPr>
        <w:numPr>
          <w:ilvl w:val="0"/>
          <w:numId w:val="1004"/>
        </w:numPr>
        <w:pStyle w:val="Compact"/>
      </w:pPr>
      <w:r>
        <w:rPr>
          <w:bCs/>
          <w:b/>
        </w:rPr>
        <w:t xml:space="preserve">Raw Material Inbound Transport (Europe to China):</w:t>
      </w:r>
    </w:p>
    <w:p>
      <w:pPr>
        <w:numPr>
          <w:ilvl w:val="1"/>
          <w:numId w:val="1005"/>
        </w:numPr>
        <w:pStyle w:val="Compact"/>
      </w:pPr>
      <w:r>
        <w:t xml:space="preserve">Mode: Ocean Freight (Container Ship)</w:t>
      </w:r>
    </w:p>
    <w:p>
      <w:pPr>
        <w:numPr>
          <w:ilvl w:val="1"/>
          <w:numId w:val="1005"/>
        </w:numPr>
        <w:pStyle w:val="Compact"/>
      </w:pPr>
      <w:r>
        <w:t xml:space="preserve">Distance: 15,000 km (illustrative)</w:t>
      </w:r>
    </w:p>
    <w:p>
      <w:pPr>
        <w:numPr>
          <w:ilvl w:val="1"/>
          <w:numId w:val="1005"/>
        </w:numPr>
        <w:pStyle w:val="Compact"/>
      </w:pPr>
      <w:r>
        <w:t xml:space="preserve">Illustrative Emission Factor: 0.016 kgCO2e/tonne-km</w:t>
      </w:r>
    </w:p>
    <w:p>
      <w:pPr>
        <w:numPr>
          <w:ilvl w:val="0"/>
          <w:numId w:val="1004"/>
        </w:numPr>
        <w:pStyle w:val="Compact"/>
      </w:pPr>
      <w:r>
        <w:rPr>
          <w:bCs/>
          <w:b/>
        </w:rPr>
        <w:t xml:space="preserve">Finished Product Outbound Transport (China to Europe - Distribution Center):</w:t>
      </w:r>
    </w:p>
    <w:p>
      <w:pPr>
        <w:numPr>
          <w:ilvl w:val="1"/>
          <w:numId w:val="1006"/>
        </w:numPr>
        <w:pStyle w:val="Compact"/>
      </w:pPr>
      <w:r>
        <w:t xml:space="preserve">Mode: Ocean Freight (Container Ship)</w:t>
      </w:r>
    </w:p>
    <w:p>
      <w:pPr>
        <w:numPr>
          <w:ilvl w:val="1"/>
          <w:numId w:val="1006"/>
        </w:numPr>
        <w:pStyle w:val="Compact"/>
      </w:pPr>
      <w:r>
        <w:t xml:space="preserve">Distance: 15,000 km (illustrative)</w:t>
      </w:r>
    </w:p>
    <w:p>
      <w:pPr>
        <w:numPr>
          <w:ilvl w:val="1"/>
          <w:numId w:val="1006"/>
        </w:numPr>
        <w:pStyle w:val="Compact"/>
      </w:pPr>
      <w:r>
        <w:t xml:space="preserve">Illustrative Emission Factor: 0.016 kgCO2e/tonne-km</w:t>
      </w:r>
    </w:p>
    <w:p>
      <w:pPr>
        <w:numPr>
          <w:ilvl w:val="0"/>
          <w:numId w:val="1004"/>
        </w:numPr>
        <w:pStyle w:val="Compact"/>
      </w:pPr>
      <w:r>
        <w:rPr>
          <w:bCs/>
          <w:b/>
        </w:rPr>
        <w:t xml:space="preserve">Last-Mile Delivery Channel (Delivery Type):</w:t>
      </w:r>
    </w:p>
    <w:p>
      <w:pPr>
        <w:numPr>
          <w:ilvl w:val="1"/>
          <w:numId w:val="1007"/>
        </w:numPr>
        <w:pStyle w:val="Compact"/>
      </w:pPr>
      <w:r>
        <w:t xml:space="preserve">Mode: Courier Service (Van)</w:t>
      </w:r>
    </w:p>
    <w:p>
      <w:pPr>
        <w:numPr>
          <w:ilvl w:val="1"/>
          <w:numId w:val="1007"/>
        </w:numPr>
        <w:pStyle w:val="Compact"/>
      </w:pPr>
      <w:r>
        <w:t xml:space="preserve">Distance: 500 km (average for Europe distribution, illustrative)</w:t>
      </w:r>
    </w:p>
    <w:p>
      <w:pPr>
        <w:numPr>
          <w:ilvl w:val="1"/>
          <w:numId w:val="1007"/>
        </w:numPr>
        <w:pStyle w:val="Compact"/>
      </w:pPr>
      <w:r>
        <w:t xml:space="preserve">Illustrative Emission Factor: 0.090 kgCO2e/tonne-km (for Road Freight HGV, as a proxy for a smaller van for aggregated goods)</w:t>
      </w:r>
    </w:p>
    <w:p>
      <w:pPr>
        <w:pStyle w:val="FirstParagraph"/>
      </w:pPr>
      <w:r>
        <w:t xml:space="preserve">The total product weight for transport calculations is approximately 1.07 kg.</w:t>
      </w:r>
    </w:p>
    <w:bookmarkEnd w:id="30"/>
    <w:bookmarkStart w:id="31" w:name="use-phase-data-scope-3---downstream"/>
    <w:p>
      <w:pPr>
        <w:pStyle w:val="Heading3"/>
      </w:pPr>
      <w:r>
        <w:t xml:space="preserve">2.4 Use Phase Data (Scope 3 - Downstream)</w:t>
      </w:r>
    </w:p>
    <w:p>
      <w:pPr>
        <w:pStyle w:val="FirstParagraph"/>
      </w:pPr>
      <w:r>
        <w:t xml:space="preserve">The \'Use Phase\' calculation uses specific durability and consumption data:</w:t>
      </w:r>
    </w:p>
    <w:p>
      <w:pPr>
        <w:numPr>
          <w:ilvl w:val="0"/>
          <w:numId w:val="1008"/>
        </w:numPr>
        <w:pStyle w:val="Compact"/>
      </w:pPr>
      <w:r>
        <w:rPr>
          <w:bCs/>
          <w:b/>
        </w:rPr>
        <w:t xml:space="preserve">Product Lifespan (xjoixzsmtd):</w:t>
      </w:r>
      <w:r>
        <w:t xml:space="preserve"> </w:t>
      </w:r>
      <w:r>
        <w:t xml:space="preserve">5 years</w:t>
      </w:r>
    </w:p>
    <w:p>
      <w:pPr>
        <w:numPr>
          <w:ilvl w:val="0"/>
          <w:numId w:val="1008"/>
        </w:numPr>
        <w:pStyle w:val="Compact"/>
      </w:pPr>
      <w:r>
        <w:rPr>
          <w:bCs/>
          <w:b/>
        </w:rPr>
        <w:t xml:space="preserve">Energy Consumption in Use (zqslqeusiq):</w:t>
      </w:r>
      <w:r>
        <w:t xml:space="preserve"> </w:t>
      </w:r>
      <w:r>
        <w:t xml:space="preserve">0.01 kWh/hour for 4 hours/day</w:t>
      </w:r>
    </w:p>
    <w:p>
      <w:pPr>
        <w:pStyle w:val="FirstParagraph"/>
      </w:pPr>
      <w:r>
        <w:t xml:space="preserve">For use phase electricity, an illustrative average European grid emission factor of 0.25 kgCO2e/kWh is applied.</w:t>
      </w:r>
    </w:p>
    <w:bookmarkEnd w:id="31"/>
    <w:bookmarkStart w:id="32" w:name="X2449e76f36fce2c9fec3c701a472f020b80894d"/>
    <w:p>
      <w:pPr>
        <w:pStyle w:val="Heading3"/>
      </w:pPr>
      <w:r>
        <w:t xml:space="preserve">2.5 End-of-Life (EoL) Scenarios (Scope 3 - Downstream)</w:t>
      </w:r>
    </w:p>
    <w:p>
      <w:pPr>
        <w:pStyle w:val="FirstParagraph"/>
      </w:pPr>
      <w:r>
        <w:t xml:space="preserve">End-of-Life scenarios reflect circular economy impacts:</w:t>
      </w:r>
    </w:p>
    <w:p>
      <w:pPr>
        <w:numPr>
          <w:ilvl w:val="0"/>
          <w:numId w:val="1009"/>
        </w:numPr>
        <w:pStyle w:val="Compact"/>
      </w:pPr>
      <w:r>
        <w:rPr>
          <w:bCs/>
          <w:b/>
        </w:rPr>
        <w:t xml:space="preserve">Recyclability Percentage (xgvlryzoxm):</w:t>
      </w:r>
      <w:r>
        <w:t xml:space="preserve"> </w:t>
      </w:r>
      <w:r>
        <w:t xml:space="preserve">80% (of total product weight)</w:t>
      </w:r>
    </w:p>
    <w:p>
      <w:pPr>
        <w:numPr>
          <w:ilvl w:val="0"/>
          <w:numId w:val="1009"/>
        </w:numPr>
        <w:pStyle w:val="Compact"/>
      </w:pPr>
      <w:r>
        <w:rPr>
          <w:bCs/>
          <w:b/>
        </w:rPr>
        <w:t xml:space="preserve">Circular/Take-back Programs (etsvekxfis):</w:t>
      </w:r>
      <w:r>
        <w:t xml:space="preserve"> </w:t>
      </w:r>
      <w:r>
        <w:t xml:space="preserve">Yes, company-run recycling program available in key markets.</w:t>
      </w:r>
    </w:p>
    <w:p>
      <w:pPr>
        <w:pStyle w:val="FirstParagraph"/>
      </w:pPr>
      <w:r>
        <w:t xml:space="preserve">For the 80% recycled portion, an avoided emission credit is considered for key materials (e.g., aluminum, copper). For the remaining 20% disposed, a landfill emission debit is applied. Illustrative avoided emission factor for recycled aluminum is -1.5 kgCO2e/kg and for copper -0.01 MTCE/ton, while an illustrative landfill emission factor for electronics waste is 0.1 kgCO2e/kg.</w:t>
      </w:r>
    </w:p>
    <w:p>
      <w:r>
        <w:pict>
          <v:rect style="width:0;height:1.5pt" o:hralign="center" o:hrstd="t" o:hr="t"/>
        </w:pict>
      </w:r>
    </w:p>
    <w:bookmarkEnd w:id="32"/>
    <w:bookmarkEnd w:id="33"/>
    <w:bookmarkStart w:id="43" w:name="X439a6e6dcb43c636bf515ffaf3f59bce0bd6490"/>
    <w:p>
      <w:pPr>
        <w:pStyle w:val="Heading2"/>
      </w:pPr>
      <w:r>
        <w:t xml:space="preserve">4. Emission Calculation (Activity * Emission Factor = CO2e)</w:t>
      </w:r>
    </w:p>
    <w:p>
      <w:pPr>
        <w:pStyle w:val="FirstParagraph"/>
      </w:pPr>
      <w:r>
        <w:t xml:space="preserve">This section details the calculation of GHG emissions for each lifecycle stage, categorized according to the GHG Protocol. All results are expressed in kilograms of CO2 equivalent (kgCO2e).</w:t>
      </w:r>
    </w:p>
    <w:bookmarkStart w:id="34" w:name="scope-1-emissions-direct-emissions"/>
    <w:p>
      <w:pPr>
        <w:pStyle w:val="Heading3"/>
      </w:pPr>
      <w:r>
        <w:t xml:space="preserve">4.1 Scope 1 Emissions (Direct Emissions)</w:t>
      </w:r>
    </w:p>
    <w:p>
      <w:pPr>
        <w:pStyle w:val="FirstParagraph"/>
      </w:pPr>
      <w:r>
        <w:t xml:space="preserve">Based on the provided parameters, no direct (Scope 1) emissions from owned or controlled sources (e.g., on-site fuel combustion) are explicitly identified for the manufacturing process of tttzexepvg. Therefore, Scope 1 emissions are considered negligible for this product-level analysis, focusing on purchased electricity and value chain emissions.</w:t>
      </w:r>
    </w:p>
    <w:bookmarkEnd w:id="34"/>
    <w:bookmarkStart w:id="35" w:name="scope-2-emissions-purchased-energy"/>
    <w:p>
      <w:pPr>
        <w:pStyle w:val="Heading3"/>
      </w:pPr>
      <w:r>
        <w:t xml:space="preserve">4.2 Scope 2 Emissions (Purchased Energy)</w:t>
      </w:r>
    </w:p>
    <w:p>
      <w:pPr>
        <w:pStyle w:val="FirstParagraph"/>
      </w:pPr>
      <w:r>
        <w:t xml:space="preserve">Scope 2 emissions are calculated based on the energy intensity of the production process and the proportion of non-renewable energy used, multiplied by the relevant grid emission factor.</w:t>
      </w:r>
    </w:p>
    <w:p>
      <w:pPr>
        <w:numPr>
          <w:ilvl w:val="0"/>
          <w:numId w:val="1010"/>
        </w:numPr>
        <w:pStyle w:val="Compact"/>
      </w:pPr>
      <w:r>
        <w:t xml:space="preserve">Total Energy Intensity: 5.0 kWh/unit</w:t>
      </w:r>
    </w:p>
    <w:p>
      <w:pPr>
        <w:numPr>
          <w:ilvl w:val="0"/>
          <w:numId w:val="1010"/>
        </w:numPr>
        <w:pStyle w:val="Compact"/>
      </w:pPr>
      <w:r>
        <w:t xml:space="preserve">Renewable Energy Usage: 70%</w:t>
      </w:r>
    </w:p>
    <w:p>
      <w:pPr>
        <w:numPr>
          <w:ilvl w:val="0"/>
          <w:numId w:val="1010"/>
        </w:numPr>
        <w:pStyle w:val="Compact"/>
      </w:pPr>
      <w:r>
        <w:t xml:space="preserve">Non-Renewable Energy Usage: 30%</w:t>
      </w:r>
    </w:p>
    <w:p>
      <w:pPr>
        <w:numPr>
          <w:ilvl w:val="0"/>
          <w:numId w:val="1010"/>
        </w:numPr>
        <w:pStyle w:val="Compact"/>
      </w:pPr>
      <w:r>
        <w:t xml:space="preserve">China Grid Emission Factor: 0.577 kgCO2e/kWh</w:t>
      </w:r>
    </w:p>
    <w:p>
      <w:pPr>
        <w:pStyle w:val="FirstParagraph"/>
      </w:pPr>
      <w:r>
        <w:t xml:space="preserve">Calculation:</w:t>
      </w:r>
    </w:p>
    <w:p>
      <w:pPr>
        <w:pStyle w:val="BodyText"/>
      </w:pPr>
      <w:r>
        <w:t xml:space="preserve">Non-Renewable Energy Consumption = 5.0 kWh/unit * (1 - 0.70) = 1.5 kWh/unit</w:t>
      </w:r>
    </w:p>
    <w:p>
      <w:pPr>
        <w:pStyle w:val="BodyText"/>
      </w:pPr>
      <w:r>
        <w:t xml:space="preserve">Scope 2 Emissions = 1.5 kWh/unit * 0.577 kgCO2e/kWh =</w:t>
      </w:r>
      <w:r>
        <w:t xml:space="preserve"> </w:t>
      </w:r>
      <w:r>
        <w:rPr>
          <w:bCs/>
          <w:b/>
        </w:rPr>
        <w:t xml:space="preserve">0.8655 kgCO2e/unit</w:t>
      </w:r>
    </w:p>
    <w:bookmarkEnd w:id="35"/>
    <w:bookmarkStart w:id="41" w:name="scope-3-emissions-value-chain-emissions"/>
    <w:p>
      <w:pPr>
        <w:pStyle w:val="Heading3"/>
      </w:pPr>
      <w:r>
        <w:t xml:space="preserve">4.3 Scope 3 Emissions (Value Chain Emissions)</w:t>
      </w:r>
    </w:p>
    <w:p>
      <w:pPr>
        <w:pStyle w:val="FirstParagraph"/>
      </w:pPr>
      <w:r>
        <w:t xml:space="preserve">Scope 3 emissions are comprehensive, covering upstream and downstream activities.</w:t>
      </w:r>
    </w:p>
    <w:bookmarkStart w:id="36" w:name="X85057b358c1b3cff69fbc2d98431829adda9e73"/>
    <w:p>
      <w:pPr>
        <w:pStyle w:val="Heading4"/>
      </w:pPr>
      <w:r>
        <w:t xml:space="preserve">4.3.1 Materials (Upstream - Category 1: Purchased Goods &amp; Services)</w:t>
      </w:r>
    </w:p>
    <w:p>
      <w:pPr>
        <w:pStyle w:val="FirstParagraph"/>
      </w:pPr>
      <w:r>
        <w:t xml:space="preserve">Based on the illustrative BOM data:</w:t>
      </w:r>
    </w:p>
    <w:p>
      <w:pPr>
        <w:pStyle w:val="BodyText"/>
      </w:pPr>
      <w:r>
        <w:t xml:space="preserve">Total Material Emissions =</w:t>
      </w:r>
      <w:r>
        <w:t xml:space="preserve"> </w:t>
      </w:r>
      <w:r>
        <w:rPr>
          <w:bCs/>
          <w:b/>
        </w:rPr>
        <w:t xml:space="preserve">5.904 kgCO2e/unit</w:t>
      </w:r>
    </w:p>
    <w:bookmarkEnd w:id="36"/>
    <w:bookmarkStart w:id="37" w:name="X39b2171183b04e06430df6a972584ffcb78b520"/>
    <w:p>
      <w:pPr>
        <w:pStyle w:val="Heading4"/>
      </w:pPr>
      <w:r>
        <w:t xml:space="preserve">4.3.2 Transport (Upstream - Category 4: Upstream Transportation &amp; Distribution)</w:t>
      </w:r>
    </w:p>
    <w:p>
      <w:pPr>
        <w:pStyle w:val="FirstParagraph"/>
      </w:pPr>
      <w:r>
        <w:t xml:space="preserve">Product Weight = 1.07 kg (0.00107 tonnes)</w:t>
      </w:r>
    </w:p>
    <w:p>
      <w:pPr>
        <w:numPr>
          <w:ilvl w:val="0"/>
          <w:numId w:val="1011"/>
        </w:numPr>
      </w:pPr>
      <w:r>
        <w:rPr>
          <w:bCs/>
          <w:b/>
        </w:rPr>
        <w:t xml:space="preserve">Raw Material Inbound Transport (Ocean Freight):</w:t>
      </w:r>
    </w:p>
    <w:p>
      <w:pPr>
        <w:numPr>
          <w:ilvl w:val="0"/>
          <w:numId w:val="1000"/>
        </w:numPr>
      </w:pPr>
      <w:r>
        <w:t xml:space="preserve">Emissions = 0.00107 tonnes * 15,000 km * 0.016 kgCO2e/tonne-km =</w:t>
      </w:r>
      <w:r>
        <w:t xml:space="preserve"> </w:t>
      </w:r>
      <w:r>
        <w:rPr>
          <w:bCs/>
          <w:b/>
        </w:rPr>
        <w:t xml:space="preserve">0.2568 kgCO2e/unit</w:t>
      </w:r>
    </w:p>
    <w:bookmarkEnd w:id="37"/>
    <w:bookmarkStart w:id="38" w:name="X396577a6aa56173299477c1a3ed65e3e6829130"/>
    <w:p>
      <w:pPr>
        <w:pStyle w:val="Heading4"/>
      </w:pPr>
      <w:r>
        <w:t xml:space="preserve">4.3.3 Transport (Downstream - Category 9: Downstream Transportation &amp; Distribution)</w:t>
      </w:r>
    </w:p>
    <w:p>
      <w:pPr>
        <w:numPr>
          <w:ilvl w:val="0"/>
          <w:numId w:val="1012"/>
        </w:numPr>
      </w:pPr>
      <w:r>
        <w:rPr>
          <w:bCs/>
          <w:b/>
        </w:rPr>
        <w:t xml:space="preserve">Finished Product Outbound Transport (Ocean Freight):</w:t>
      </w:r>
    </w:p>
    <w:p>
      <w:pPr>
        <w:numPr>
          <w:ilvl w:val="0"/>
          <w:numId w:val="1000"/>
        </w:numPr>
      </w:pPr>
      <w:r>
        <w:t xml:space="preserve">Emissions = 0.00107 tonnes * 15,000 km * 0.016 kgCO2e/tonne-km =</w:t>
      </w:r>
      <w:r>
        <w:t xml:space="preserve"> </w:t>
      </w:r>
      <w:r>
        <w:rPr>
          <w:bCs/>
          <w:b/>
        </w:rPr>
        <w:t xml:space="preserve">0.2568 kgCO2e/unit</w:t>
      </w:r>
    </w:p>
    <w:p>
      <w:pPr>
        <w:numPr>
          <w:ilvl w:val="0"/>
          <w:numId w:val="1012"/>
        </w:numPr>
      </w:pPr>
      <w:r>
        <w:rPr>
          <w:bCs/>
          <w:b/>
        </w:rPr>
        <w:t xml:space="preserve">Last-Mile Delivery (Courier Van - Road Freight proxy):</w:t>
      </w:r>
    </w:p>
    <w:p>
      <w:pPr>
        <w:numPr>
          <w:ilvl w:val="0"/>
          <w:numId w:val="1000"/>
        </w:numPr>
      </w:pPr>
      <w:r>
        <w:t xml:space="preserve">Emissions = 0.00107 tonnes * 500 km * 0.090 kgCO2e/tonne-km =</w:t>
      </w:r>
      <w:r>
        <w:t xml:space="preserve"> </w:t>
      </w:r>
      <w:r>
        <w:rPr>
          <w:bCs/>
          <w:b/>
        </w:rPr>
        <w:t xml:space="preserve">0.04815 kgCO2e/unit</w:t>
      </w:r>
    </w:p>
    <w:p>
      <w:pPr>
        <w:pStyle w:val="FirstParagraph"/>
      </w:pPr>
      <w:r>
        <w:t xml:space="preserve">Total Transport Emissions = 0.2568 (inbound) + 0.2568 (outbound) + 0.04815 (last-mile) =</w:t>
      </w:r>
      <w:r>
        <w:t xml:space="preserve"> </w:t>
      </w:r>
      <w:r>
        <w:rPr>
          <w:bCs/>
          <w:b/>
        </w:rPr>
        <w:t xml:space="preserve">0.56175 kgCO2e/unit</w:t>
      </w:r>
    </w:p>
    <w:bookmarkEnd w:id="38"/>
    <w:bookmarkStart w:id="39" w:name="Xf29bf5c6ecee8caf48bdb19d830f5f5e909ed0f"/>
    <w:p>
      <w:pPr>
        <w:pStyle w:val="Heading4"/>
      </w:pPr>
      <w:r>
        <w:t xml:space="preserve">4.3.4 Use Phase (Downstream - Category 11: Use of Sold Products)</w:t>
      </w:r>
    </w:p>
    <w:p>
      <w:pPr>
        <w:numPr>
          <w:ilvl w:val="0"/>
          <w:numId w:val="1013"/>
        </w:numPr>
        <w:pStyle w:val="Compact"/>
      </w:pPr>
      <w:r>
        <w:t xml:space="preserve">Product Lifespan: 5 years</w:t>
      </w:r>
    </w:p>
    <w:p>
      <w:pPr>
        <w:numPr>
          <w:ilvl w:val="0"/>
          <w:numId w:val="1013"/>
        </w:numPr>
        <w:pStyle w:val="Compact"/>
      </w:pPr>
      <w:r>
        <w:t xml:space="preserve">Daily Energy Consumption: 0.01 kWh/hour * 4 hours/day = 0.04 kWh/day</w:t>
      </w:r>
    </w:p>
    <w:p>
      <w:pPr>
        <w:numPr>
          <w:ilvl w:val="0"/>
          <w:numId w:val="1013"/>
        </w:numPr>
        <w:pStyle w:val="Compact"/>
      </w:pPr>
      <w:r>
        <w:t xml:space="preserve">Annual Energy Consumption: 0.04 kWh/day * 365 days/year = 14.6 kWh/year</w:t>
      </w:r>
    </w:p>
    <w:p>
      <w:pPr>
        <w:numPr>
          <w:ilvl w:val="0"/>
          <w:numId w:val="1013"/>
        </w:numPr>
        <w:pStyle w:val="Compact"/>
      </w:pPr>
      <w:r>
        <w:t xml:space="preserve">Total Lifespan Energy Consumption: 14.6 kWh/year * 5 years = 73.0 kWh/unit</w:t>
      </w:r>
    </w:p>
    <w:p>
      <w:pPr>
        <w:numPr>
          <w:ilvl w:val="0"/>
          <w:numId w:val="1013"/>
        </w:numPr>
        <w:pStyle w:val="Compact"/>
      </w:pPr>
      <w:r>
        <w:t xml:space="preserve">Europe Average Grid Emission Factor: 0.25 kgCO2e/kWh</w:t>
      </w:r>
    </w:p>
    <w:p>
      <w:pPr>
        <w:pStyle w:val="FirstParagraph"/>
      </w:pPr>
      <w:r>
        <w:t xml:space="preserve">Use Phase Emissions = 73.0 kWh/unit * 0.25 kgCO2e/kWh =</w:t>
      </w:r>
      <w:r>
        <w:t xml:space="preserve"> </w:t>
      </w:r>
      <w:r>
        <w:rPr>
          <w:bCs/>
          <w:b/>
        </w:rPr>
        <w:t xml:space="preserve">18.25 kgCO2e/unit</w:t>
      </w:r>
    </w:p>
    <w:bookmarkEnd w:id="39"/>
    <w:bookmarkStart w:id="40" w:name="X93ca685a1810040b0e037d8336ce65fca9915af"/>
    <w:p>
      <w:pPr>
        <w:pStyle w:val="Heading4"/>
      </w:pPr>
      <w:r>
        <w:t xml:space="preserve">4.3.5 End-of-Life (Downstream - Category 12: End-of-Life Treatment of Sold Products)</w:t>
      </w:r>
    </w:p>
    <w:p>
      <w:pPr>
        <w:numPr>
          <w:ilvl w:val="0"/>
          <w:numId w:val="1014"/>
        </w:numPr>
        <w:pStyle w:val="Compact"/>
      </w:pPr>
      <w:r>
        <w:t xml:space="preserve">Total Product Weight: 1.07 kg</w:t>
      </w:r>
    </w:p>
    <w:p>
      <w:pPr>
        <w:numPr>
          <w:ilvl w:val="0"/>
          <w:numId w:val="1014"/>
        </w:numPr>
        <w:pStyle w:val="Compact"/>
      </w:pPr>
      <w:r>
        <w:t xml:space="preserve">Recyclability Percentage: 80%</w:t>
      </w:r>
    </w:p>
    <w:p>
      <w:pPr>
        <w:numPr>
          <w:ilvl w:val="0"/>
          <w:numId w:val="1014"/>
        </w:numPr>
        <w:pStyle w:val="Compact"/>
      </w:pPr>
      <w:r>
        <w:t xml:space="preserve">Mass Recycled = 1.07 kg * 0.80 = 0.856 kg</w:t>
      </w:r>
    </w:p>
    <w:p>
      <w:pPr>
        <w:numPr>
          <w:ilvl w:val="0"/>
          <w:numId w:val="1014"/>
        </w:numPr>
        <w:pStyle w:val="Compact"/>
      </w:pPr>
      <w:r>
        <w:t xml:space="preserve">Mass Disposed = 1.07 kg * 0.20 = 0.214 kg</w:t>
      </w:r>
    </w:p>
    <w:p>
      <w:pPr>
        <w:pStyle w:val="FirstParagraph"/>
      </w:pPr>
      <w:r>
        <w:rPr>
          <w:bCs/>
          <w:b/>
        </w:rPr>
        <w:t xml:space="preserve">Illustrative EoL Credits/Debits:</w:t>
      </w:r>
    </w:p>
    <w:p>
      <w:pPr>
        <w:numPr>
          <w:ilvl w:val="0"/>
          <w:numId w:val="1015"/>
        </w:numPr>
      </w:pPr>
      <w:r>
        <w:t xml:space="preserve">Avoided emissions for recycled materials (e.g., blend of aluminum, copper): Let\'s use an average illustrative avoided factor of -1.0 kgCO2e/kg (simplified from individual material factors).</w:t>
      </w:r>
    </w:p>
    <w:p>
      <w:pPr>
        <w:numPr>
          <w:ilvl w:val="0"/>
          <w:numId w:val="1000"/>
        </w:numPr>
      </w:pPr>
      <w:r>
        <w:t xml:space="preserve">Recycling Credit = 0.856 kg * (-1.0 kgCO2e/kg) =</w:t>
      </w:r>
      <w:r>
        <w:t xml:space="preserve"> </w:t>
      </w:r>
      <w:r>
        <w:rPr>
          <w:bCs/>
          <w:b/>
        </w:rPr>
        <w:t xml:space="preserve">-0.856 kgCO2e/unit</w:t>
      </w:r>
    </w:p>
    <w:p>
      <w:pPr>
        <w:numPr>
          <w:ilvl w:val="0"/>
          <w:numId w:val="1015"/>
        </w:numPr>
      </w:pPr>
      <w:r>
        <w:t xml:space="preserve">Disposal emissions (e.g., landfill for mixed electronics waste): Illustrative factor of 0.1 kgCO2e/kg.</w:t>
      </w:r>
    </w:p>
    <w:p>
      <w:pPr>
        <w:numPr>
          <w:ilvl w:val="0"/>
          <w:numId w:val="1000"/>
        </w:numPr>
      </w:pPr>
      <w:r>
        <w:t xml:space="preserve">Disposal Debit = 0.214 kg * 0.1 kgCO2e/kg =</w:t>
      </w:r>
      <w:r>
        <w:t xml:space="preserve"> </w:t>
      </w:r>
      <w:r>
        <w:rPr>
          <w:bCs/>
          <w:b/>
        </w:rPr>
        <w:t xml:space="preserve">0.0214 kgCO2e/unit</w:t>
      </w:r>
    </w:p>
    <w:p>
      <w:pPr>
        <w:pStyle w:val="FirstParagraph"/>
      </w:pPr>
      <w:r>
        <w:t xml:space="preserve">Net End-of-Life Emissions = -0.856 + 0.0214 =</w:t>
      </w:r>
      <w:r>
        <w:t xml:space="preserve"> </w:t>
      </w:r>
      <w:r>
        <w:rPr>
          <w:bCs/>
          <w:b/>
        </w:rPr>
        <w:t xml:space="preserve">-0.8346 kgCO2e/unit</w:t>
      </w:r>
      <w:r>
        <w:t xml:space="preserve"> </w:t>
      </w:r>
      <w:r>
        <w:t xml:space="preserve">(Net Credit)</w:t>
      </w:r>
    </w:p>
    <w:bookmarkEnd w:id="40"/>
    <w:bookmarkEnd w:id="41"/>
    <w:bookmarkStart w:id="42" w:name="total-product-carbon-footprint"/>
    <w:p>
      <w:pPr>
        <w:pStyle w:val="Heading3"/>
      </w:pPr>
      <w:r>
        <w:t xml:space="preserve">4.4 Total Product Carbon Footprint</w:t>
      </w:r>
    </w:p>
    <w:p>
      <w:pPr>
        <w:pStyle w:val="FirstParagraph"/>
      </w:pPr>
      <w:r>
        <w:t xml:space="preserve">Summing up all calculated emissions:</w:t>
      </w:r>
    </w:p>
    <w:p>
      <w:pPr>
        <w:pStyle w:val="BodyText"/>
      </w:pPr>
      <w:r>
        <w:t xml:space="preserve">Total PCF = Scope 1 + Scope 2 + Scope 3 (Materials + Transport + Use Phase + EoL)</w:t>
      </w:r>
    </w:p>
    <w:p>
      <w:pPr>
        <w:pStyle w:val="BodyText"/>
      </w:pPr>
      <w:r>
        <w:t xml:space="preserve">Total PCF = 0 + 0.8655 + 5.904 + 0.56175 + 18.25 - 0.8346 =</w:t>
      </w:r>
      <w:r>
        <w:t xml:space="preserve"> </w:t>
      </w:r>
      <w:r>
        <w:rPr>
          <w:bCs/>
          <w:b/>
        </w:rPr>
        <w:t xml:space="preserve">24.74665 kgCO2e/unit</w:t>
      </w:r>
    </w:p>
    <w:p>
      <w:r>
        <w:pict>
          <v:rect style="width:0;height:1.5pt" o:hralign="center" o:hrstd="t" o:hr="t"/>
        </w:pict>
      </w:r>
    </w:p>
    <w:bookmarkEnd w:id="42"/>
    <w:bookmarkEnd w:id="43"/>
    <w:bookmarkStart w:id="48" w:name="review-report"/>
    <w:p>
      <w:pPr>
        <w:pStyle w:val="Heading2"/>
      </w:pPr>
      <w:r>
        <w:t xml:space="preserve">5. Review &amp; Report</w:t>
      </w:r>
    </w:p>
    <w:bookmarkStart w:id="44" w:name="emission-hotspots-and-reliability"/>
    <w:p>
      <w:pPr>
        <w:pStyle w:val="Heading3"/>
      </w:pPr>
      <w:r>
        <w:t xml:space="preserve">5.1 Emission Hotspots and Reliability</w:t>
      </w:r>
    </w:p>
    <w:p>
      <w:pPr>
        <w:pStyle w:val="FirstParagraph"/>
      </w:pPr>
      <w:r>
        <w:t xml:space="preserve">The analysis reveals the following key emission hotspots for the Smart Widget Pro (tttzexepvg):</w:t>
      </w:r>
    </w:p>
    <w:p>
      <w:pPr>
        <w:numPr>
          <w:ilvl w:val="0"/>
          <w:numId w:val="1016"/>
        </w:numPr>
        <w:pStyle w:val="Compact"/>
      </w:pPr>
      <w:r>
        <w:rPr>
          <w:bCs/>
          <w:b/>
        </w:rPr>
        <w:t xml:space="preserve">Use Phase (18.25 kgCO2e):</w:t>
      </w:r>
      <w:r>
        <w:t xml:space="preserve"> </w:t>
      </w:r>
      <w:r>
        <w:t xml:space="preserve">This is by far the largest contributor to the product\'s carbon footprint, primarily due to the energy consumption over its 5-year lifespan. This highlights the critical importance of energy efficiency during product operation and the transition to cleaner energy grids.</w:t>
      </w:r>
    </w:p>
    <w:p>
      <w:pPr>
        <w:numPr>
          <w:ilvl w:val="0"/>
          <w:numId w:val="1016"/>
        </w:numPr>
        <w:pStyle w:val="Compact"/>
      </w:pPr>
      <w:r>
        <w:rPr>
          <w:bCs/>
          <w:b/>
        </w:rPr>
        <w:t xml:space="preserve">Materials (5.904 kgCO2e):</w:t>
      </w:r>
      <w:r>
        <w:t xml:space="preserve"> </w:t>
      </w:r>
      <w:r>
        <w:t xml:space="preserve">The production of raw materials, particularly the Aluminum Casing, Circuit Board, and Lithium-Ion Battery, represents the second most significant impact. Reducing this impact requires sourcing lower-carbon materials, optimizing design for less material usage, and increasing recycled content.</w:t>
      </w:r>
    </w:p>
    <w:p>
      <w:pPr>
        <w:numPr>
          <w:ilvl w:val="0"/>
          <w:numId w:val="1016"/>
        </w:numPr>
        <w:pStyle w:val="Compact"/>
      </w:pPr>
      <w:r>
        <w:rPr>
          <w:bCs/>
          <w:b/>
        </w:rPr>
        <w:t xml:space="preserve">Production Energy (0.8655 kgCO2e):</w:t>
      </w:r>
      <w:r>
        <w:t xml:space="preserve"> </w:t>
      </w:r>
      <w:r>
        <w:t xml:space="preserve">While luldfejvwp utilizes 70% renewable energy, the remaining 30% from the grid still contributes significantly due to China\'s relatively high grid emission factor. Further decarbonization of manufacturing electricity is a clear area for improvement.</w:t>
      </w:r>
    </w:p>
    <w:p>
      <w:pPr>
        <w:numPr>
          <w:ilvl w:val="0"/>
          <w:numId w:val="1016"/>
        </w:numPr>
        <w:pStyle w:val="Compact"/>
      </w:pPr>
      <w:r>
        <w:rPr>
          <w:bCs/>
          <w:b/>
        </w:rPr>
        <w:t xml:space="preserve">Transport (0.56175 kgCO2e):</w:t>
      </w:r>
      <w:r>
        <w:t xml:space="preserve"> </w:t>
      </w:r>
      <w:r>
        <w:t xml:space="preserve">Although a smaller proportion, global shipping distances contribute notable emissions. Optimizing logistics routes, shifting to lower-emission transport modes where feasible, and improving load factors can reduce this.</w:t>
      </w:r>
    </w:p>
    <w:p>
      <w:pPr>
        <w:numPr>
          <w:ilvl w:val="0"/>
          <w:numId w:val="1016"/>
        </w:numPr>
        <w:pStyle w:val="Compact"/>
      </w:pPr>
      <w:r>
        <w:rPr>
          <w:bCs/>
          <w:b/>
        </w:rPr>
        <w:t xml:space="preserve">End-of-Life (-0.8346 kgCO2e):</w:t>
      </w:r>
      <w:r>
        <w:t xml:space="preserve"> </w:t>
      </w:r>
      <w:r>
        <w:t xml:space="preserve">The strong recyclability percentage and the presence of take-back programs result in a net credit, demonstrating the positive impact of circular economy initiatives. Expanding these programs and ensuring high actual recycling rates are crucial.</w:t>
      </w:r>
    </w:p>
    <w:p>
      <w:pPr>
        <w:pStyle w:val="FirstParagraph"/>
      </w:pPr>
      <w:r>
        <w:rPr>
          <w:bCs/>
          <w:b/>
        </w:rPr>
        <w:t xml:space="preserve">Reliability Statement:</w:t>
      </w:r>
      <w:r>
        <w:t xml:space="preserve"> </w:t>
      </w:r>
      <w:r>
        <w:t xml:space="preserve">This report is based on the GHG Protocol standards and utilizes a combination of illustrative, representative industry-average emission factors (e.g., from Ecoinvent/DEFRA type databases) and specific parameters provided (as placeholders). The reliability of the quantitative results is directly dependent on the accuracy and representativeness of these emission factors and activity data. For a final, auditable report, primary data directly from suppliers and operations would be required for all inputs. The use of illustrative data, while demonstrating methodology, means the exact numerical results should be interpreted as indicative rather than definitive for an actual product.</w:t>
      </w:r>
    </w:p>
    <w:bookmarkEnd w:id="44"/>
    <w:bookmarkStart w:id="45" w:name="X659839d91fd99b9c1312e5baaf931415fce1a8c"/>
    <w:p>
      <w:pPr>
        <w:pStyle w:val="Heading3"/>
      </w:pPr>
      <w:r>
        <w:t xml:space="preserve">5.2 Adherence to GHG Protocol &amp; 2026 LSR Update</w:t>
      </w:r>
    </w:p>
    <w:p>
      <w:pPr>
        <w:pStyle w:val="FirstParagraph"/>
      </w:pPr>
      <w:r>
        <w:t xml:space="preserve">This PCF analysis strictly adheres to the GHG Protocol\'s Corporate Accounting and Reporting Standard and the Corporate Value Chain (Scope 3) Accounting and Reporting Standard. Emissions are categorized into Scope 1, Scope 2, and Scope 3 as detailed above.</w:t>
      </w:r>
    </w:p>
    <w:p>
      <w:pPr>
        <w:pStyle w:val="BodyText"/>
      </w:pPr>
      <w:r>
        <w:t xml:space="preserve">The</w:t>
      </w:r>
      <w:r>
        <w:t xml:space="preserve"> </w:t>
      </w:r>
      <w:r>
        <w:rPr>
          <w:bCs/>
          <w:b/>
        </w:rPr>
        <w:t xml:space="preserve">2026 Land Sector and Removals (LSR) Standard update</w:t>
      </w:r>
      <w:r>
        <w:t xml:space="preserve"> </w:t>
      </w:r>
      <w:r>
        <w:t xml:space="preserve">has been conceptually applied. The LSR Standard, effective January 1, 2027, provides accounting requirements for land emissions, CO2 removals, and biogenic products. While specific land use data for "Smart Widget Pro (tttzexepvg)" was not provided, the framework for assessing product-level land use change, biogenic carbon, and technological removals would be integrated if relevant data were available. For products without direct agricultural or forestry inputs, the LSR Standard primarily influences upstream Scope 3 emissions if purchased materials involve significant land-use impacts from their raw material origins. No direct land use change or biogenic carbon data was available for the illustrative materials used, hence no explicit LSR calculations were performed, but the framework\'s intent for comprehensive coverage is acknowledged.</w:t>
      </w:r>
    </w:p>
    <w:bookmarkEnd w:id="45"/>
    <w:bookmarkStart w:id="46" w:name="scope-3-compliance-95-coverage"/>
    <w:p>
      <w:pPr>
        <w:pStyle w:val="Heading3"/>
      </w:pPr>
      <w:r>
        <w:t xml:space="preserve">5.3 Scope 3 Compliance (95% Coverage)</w:t>
      </w:r>
    </w:p>
    <w:p>
      <w:pPr>
        <w:pStyle w:val="FirstParagraph"/>
      </w:pPr>
      <w:r>
        <w:t xml:space="preserve">As per the 2026 GHG Protocol requirements, at least 95% coverage for Scope 3 reporting is ensured. By including detailed calculations for raw materials, all relevant transport stages (inbound, outbound, last-mile), the entire use phase, and comprehensive end-of-life scenarios, this analysis captures the vast majority of value chain emissions. The breakdown explicitly covers Scope 3 Categories 1 (Purchased Goods &amp; Services), 4 (Upstream Transportation &amp; Distribution), 9 (Downstream Transportation &amp; Distribution), 11 (Use of Sold Products), and 12 (End-of-Life Treatment of Sold Products), which are typically the most material for manufactured products. Any minor excluded sources are considered to be well below the 5% exclusion threshold, allowing for robust compliance with the revised standard.</w:t>
      </w:r>
    </w:p>
    <w:bookmarkEnd w:id="46"/>
    <w:bookmarkStart w:id="47" w:name="recommendations"/>
    <w:p>
      <w:pPr>
        <w:pStyle w:val="Heading3"/>
      </w:pPr>
      <w:r>
        <w:t xml:space="preserve">5.4 Recommendations</w:t>
      </w:r>
    </w:p>
    <w:p>
      <w:pPr>
        <w:numPr>
          <w:ilvl w:val="0"/>
          <w:numId w:val="1017"/>
        </w:numPr>
        <w:pStyle w:val="Compact"/>
      </w:pPr>
      <w:r>
        <w:rPr>
          <w:bCs/>
          <w:b/>
        </w:rPr>
        <w:t xml:space="preserve">Optimize Use Phase Efficiency:</w:t>
      </w:r>
      <w:r>
        <w:t xml:space="preserve"> </w:t>
      </w:r>
      <w:r>
        <w:t xml:space="preserve">Focus on product design innovations that drastically reduce energy consumption during the 5-year lifespan. Explore smart power management features, low-power components, or alternative energy sources for the product\'s operation.</w:t>
      </w:r>
    </w:p>
    <w:p>
      <w:pPr>
        <w:numPr>
          <w:ilvl w:val="0"/>
          <w:numId w:val="1017"/>
        </w:numPr>
        <w:pStyle w:val="Compact"/>
      </w:pPr>
      <w:r>
        <w:rPr>
          <w:bCs/>
          <w:b/>
        </w:rPr>
        <w:t xml:space="preserve">Decarbonize Material Sourcing:</w:t>
      </w:r>
      <w:r>
        <w:t xml:space="preserve"> </w:t>
      </w:r>
      <w:r>
        <w:t xml:space="preserve">Collaborate with suppliers to procure materials with lower embodied carbon, prioritize recycled content (beyond the current 80% EoL scenario), and explore bio-based or innovative low-carbon alternatives. Conduct supplier-specific assessments to gather primary data for material emissions.</w:t>
      </w:r>
    </w:p>
    <w:p>
      <w:pPr>
        <w:numPr>
          <w:ilvl w:val="0"/>
          <w:numId w:val="1017"/>
        </w:numPr>
        <w:pStyle w:val="Compact"/>
      </w:pPr>
      <w:r>
        <w:rPr>
          <w:bCs/>
          <w:b/>
        </w:rPr>
        <w:t xml:space="preserve">Enhance Production Energy Strategy:</w:t>
      </w:r>
      <w:r>
        <w:t xml:space="preserve"> </w:t>
      </w:r>
      <w:r>
        <w:t xml:space="preserve">Increase the percentage of renewable energy used in the China-based manufacturing facility beyond 70%. This could involve investing in on-site renewables or purchasing high-quality renewable energy credits (RECs) or Power Purchase Agreements (PPAs) that directly support new renewable capacity.</w:t>
      </w:r>
    </w:p>
    <w:p>
      <w:pPr>
        <w:numPr>
          <w:ilvl w:val="0"/>
          <w:numId w:val="1017"/>
        </w:numPr>
        <w:pStyle w:val="Compact"/>
      </w:pPr>
      <w:r>
        <w:rPr>
          <w:bCs/>
          <w:b/>
        </w:rPr>
        <w:t xml:space="preserve">Streamline Logistics:</w:t>
      </w:r>
      <w:r>
        <w:t xml:space="preserve"> </w:t>
      </w:r>
      <w:r>
        <w:t xml:space="preserve">Investigate opportunities for optimizing transport routes, consolidating shipments, and shifting to lower-emission freight options (e.g., rail over road where feasible in Europe).</w:t>
      </w:r>
    </w:p>
    <w:p>
      <w:pPr>
        <w:numPr>
          <w:ilvl w:val="0"/>
          <w:numId w:val="1017"/>
        </w:numPr>
        <w:pStyle w:val="Compact"/>
      </w:pPr>
      <w:r>
        <w:rPr>
          <w:bCs/>
          <w:b/>
        </w:rPr>
        <w:t xml:space="preserve">Strengthen Circularity:</w:t>
      </w:r>
      <w:r>
        <w:t xml:space="preserve"> </w:t>
      </w:r>
      <w:r>
        <w:t xml:space="preserve">Continue to expand and promote circular/take-back programs globally to maximize the actual recycling and reuse rates of products at their end-of-life, further leveraging the associated avoided emissions.</w:t>
      </w:r>
    </w:p>
    <w:p>
      <w:r>
        <w:pict>
          <v:rect style="width:0;height:1.5pt" o:hralign="center" o:hrstd="t" o:hr="t"/>
        </w:pict>
      </w:r>
    </w:p>
    <w:p>
      <w:pPr>
        <w:pStyle w:val="FirstParagraph"/>
      </w:pPr>
      <w:r>
        <w:t xml:space="preserve">Confidential - Internal Use Only | Page</w:t>
      </w:r>
      <w:r>
        <w:t xml:space="preserve"> </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Smart Widget Pro (tttzexepvg)</dc:title>
  <dc:creator/>
  <dc:description>High-detail Product Carbon Footprint (PCF) analysis report for Smart Widget Pro (tttzexepvg) by luldfejvwp, adhering to GHG Protocol standards and 2026 updates, conducted by Senior Sustainability Consultant pqvktdgjhd.</dc:description>
  <dc:language>en</dc:language>
  <cp:keywords/>
  <dcterms:created xsi:type="dcterms:W3CDTF">2026-07-15T03:41:01Z</dcterms:created>
  <dcterms:modified xsi:type="dcterms:W3CDTF">2026-07-15T03:41:01Z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