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Smart</w:t>
      </w:r>
      <w:r>
        <w:t xml:space="preserve"> </w:t>
      </w:r>
      <w:r>
        <w:t xml:space="preserve">IoT</w:t>
      </w:r>
      <w:r>
        <w:t xml:space="preserve"> </w:t>
      </w:r>
      <w:r>
        <w:t xml:space="preserve">Device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Smart IoT Device</w:t>
      </w:r>
    </w:p>
    <w:p>
      <w:pPr>
        <w:pStyle w:val="BodyText"/>
      </w:pPr>
      <w:r>
        <w:t xml:space="preserve">Company: Global Innovations Corp.</w:t>
      </w:r>
    </w:p>
    <w:p>
      <w:pPr>
        <w:pStyle w:val="BodyText"/>
      </w:pPr>
      <w:r>
        <w:t xml:space="preserve">Protocol Data (Accounting Standard): GHG Protocol</w:t>
      </w:r>
    </w:p>
    <w:p>
      <w:pPr>
        <w:pStyle w:val="BodyText"/>
      </w:pPr>
      <w:r>
        <w:t xml:space="preserve">Senior Sustainability Consultant: Dr. Elena Petrova</w:t>
      </w:r>
    </w:p>
    <w:p>
      <w:pPr>
        <w:pStyle w:val="BodyText"/>
      </w:pPr>
      <w:r>
        <w:t xml:space="preserve">Disclaimer: This report is generated based on available data and industry standards at the time of publication. While every effort has been made to ensure accuracy, specific values may vary based on real-time operational data and evolving methodologies.</w:t>
      </w:r>
    </w:p>
    <w:bookmarkEnd w:id="20"/>
    <w:bookmarkStart w:id="21" w:name="Xa87d010c1fd868336511b306fbd202996615f12"/>
    <w:p>
      <w:pPr>
        <w:pStyle w:val="Heading1"/>
      </w:pPr>
      <w:r>
        <w:t xml:space="preserve">Product Carbon Footprint Analysis Report</w:t>
      </w:r>
    </w:p>
    <w:p>
      <w:pPr>
        <w:pStyle w:val="FirstParagraph"/>
      </w:pPr>
      <w:r>
        <w:t xml:space="preserve">Product: Smart IoT Device | Company: Global Innovations Corp.</w:t>
      </w:r>
    </w:p>
    <w:p>
      <w:pPr>
        <w:pStyle w:val="BodyText"/>
      </w:pPr>
      <w:r>
        <w:t xml:space="preserve">Generated Date: June 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"Smart IoT Device" manufactured by Global Innovations Corp. The analysis adheres strictly to the GHG Protocol accounting standards, incorporating the latest 2026 Land Sector and Removals (LSR) Standard updates and ensuring comprehensive Scope 3 coverage. The primary goal is to quantify the greenhouse gas (GHG) emissions across the product\'s lifecycle, identify emission hotspots, and provide actionable insights for sustainability improvements. The total carbon footprint for one functional unit of the Smart IoT Device, analyzed on a cradle-to-grave basis, is calculated to be 15.56 kg CO₂e.</w:t>
      </w:r>
    </w:p>
    <w:p>
      <w:r>
        <w:pict>
          <v:rect style="width:0;height:1.5pt" o:hralign="center" o:hrstd="t" o:hr="t"/>
        </w:pict>
      </w:r>
    </w:p>
    <w:bookmarkEnd w:id="22"/>
    <w:bookmarkStart w:id="27" w:name="introduction-and-scope-definition"/>
    <w:p>
      <w:pPr>
        <w:pStyle w:val="Heading2"/>
      </w:pPr>
      <w:r>
        <w:t xml:space="preserve">1. Introduction and Scope Definition</w:t>
      </w:r>
    </w:p>
    <w:bookmarkStart w:id="23" w:name="product-and-company-information"/>
    <w:p>
      <w:pPr>
        <w:pStyle w:val="Heading3"/>
      </w:pPr>
      <w:r>
        <w:t xml:space="preserve">1.1 Product and Company Information</w:t>
      </w:r>
    </w:p>
    <w:p>
      <w:pPr>
        <w:numPr>
          <w:ilvl w:val="0"/>
          <w:numId w:val="1001"/>
        </w:numPr>
        <w:pStyle w:val="Compact"/>
      </w:pPr>
      <w:r>
        <w:rPr>
          <w:bCs/>
          <w:b/>
        </w:rPr>
        <w:t xml:space="preserve">Product Name:</w:t>
      </w:r>
      <w:r>
        <w:t xml:space="preserve"> </w:t>
      </w:r>
      <w:r>
        <w:t xml:space="preserve">Smart IoT Device (iojwrlrykm)</w:t>
      </w:r>
    </w:p>
    <w:p>
      <w:pPr>
        <w:numPr>
          <w:ilvl w:val="0"/>
          <w:numId w:val="1001"/>
        </w:numPr>
        <w:pStyle w:val="Compact"/>
      </w:pPr>
      <w:r>
        <w:rPr>
          <w:bCs/>
          <w:b/>
        </w:rPr>
        <w:t xml:space="preserve">Company Name:</w:t>
      </w:r>
      <w:r>
        <w:t xml:space="preserve"> </w:t>
      </w:r>
      <w:r>
        <w:t xml:space="preserve">Global Innovations Corp. (hijzpsokfj)</w:t>
      </w:r>
    </w:p>
    <w:p>
      <w:pPr>
        <w:numPr>
          <w:ilvl w:val="0"/>
          <w:numId w:val="1001"/>
        </w:numPr>
        <w:pStyle w:val="Compact"/>
      </w:pPr>
      <w:r>
        <w:rPr>
          <w:bCs/>
          <w:b/>
        </w:rPr>
        <w:t xml:space="preserve">Senior Sustainability Consultant:</w:t>
      </w:r>
      <w:r>
        <w:t xml:space="preserve"> </w:t>
      </w:r>
      <w:r>
        <w:t xml:space="preserve">Dr. Elena Petrova (mesfurfykx)</w:t>
      </w:r>
    </w:p>
    <w:bookmarkEnd w:id="23"/>
    <w:bookmarkStart w:id="24" w:name="functional-unit-and-system-boundary"/>
    <w:p>
      <w:pPr>
        <w:pStyle w:val="Heading3"/>
      </w:pPr>
      <w:r>
        <w:t xml:space="preserve">1.2 Functional Unit and System Boundary</w:t>
      </w:r>
    </w:p>
    <w:p>
      <w:pPr>
        <w:pStyle w:val="FirstParagraph"/>
      </w:pPr>
      <w:r>
        <w:t xml:space="preserve">The functional unit for this PCF analysis is defined as</w:t>
      </w:r>
      <w:r>
        <w:t xml:space="preserve"> </w:t>
      </w:r>
      <w:r>
        <w:rPr>
          <w:bCs/>
          <w:b/>
        </w:rPr>
        <w:t xml:space="preserve">1.0 unit</w:t>
      </w:r>
      <w:r>
        <w:t xml:space="preserve"> </w:t>
      </w:r>
      <w:r>
        <w:t xml:space="preserve">of the Smart IoT Device.</w:t>
      </w:r>
    </w:p>
    <w:p>
      <w:pPr>
        <w:pStyle w:val="BodyText"/>
      </w:pPr>
      <w:r>
        <w:t xml:space="preserve">The system boundary for this report is a</w:t>
      </w:r>
      <w:r>
        <w:t xml:space="preserve"> </w:t>
      </w:r>
      <w:r>
        <w:rPr>
          <w:bCs/>
          <w:b/>
        </w:rPr>
        <w:t xml:space="preserve">cradle-to-grave</w:t>
      </w:r>
      <w:r>
        <w:t xml:space="preserve"> </w:t>
      </w:r>
      <w:r>
        <w:t xml:space="preserve">assessment, encompassing all stages from raw material acquisition, through manufacturing, transportation, use, and end-of-life treatment. While the initial parameter specified a "factory_gate" system boundary, the explicit requirement to incorporate use-phase and end-of-life data necessitates an expanded cradle-to-grave approach for a comprehensive report. The "factory_gate" boundary is considered for the initial internal operational footprint before downstream impacts.</w:t>
      </w:r>
    </w:p>
    <w:bookmarkEnd w:id="24"/>
    <w:bookmarkStart w:id="25" w:name="geographic-scope-and-allocation"/>
    <w:p>
      <w:pPr>
        <w:pStyle w:val="Heading3"/>
      </w:pPr>
      <w:r>
        <w:t xml:space="preserve">1.3 Geographic Scope and Allocation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 target markets predominantly in Europe)</w:t>
      </w:r>
    </w:p>
    <w:p>
      <w:pPr>
        <w:pStyle w:val="FirstParagraph"/>
      </w:pPr>
      <w:r>
        <w:t xml:space="preserve">Emissions are allocated directly to the functional unit. For shared processes (e.g., factory energy), emissions are allocated based on energy intensity per unit. For transport, emissions are allocated per tonne-kilometer (tkm) of product weight.</w:t>
      </w:r>
    </w:p>
    <w:bookmarkEnd w:id="25"/>
    <w:bookmarkStart w:id="26" w:name="accounting-standard-and-compliance"/>
    <w:p>
      <w:pPr>
        <w:pStyle w:val="Heading3"/>
      </w:pPr>
      <w:r>
        <w:t xml:space="preserve">1.4 Accounting Standard and Compliance</w:t>
      </w:r>
    </w:p>
    <w:p>
      <w:pPr>
        <w:pStyle w:val="FirstParagraph"/>
      </w:pPr>
      <w:r>
        <w:t xml:space="preserve">This PCF analysis is conducted in strict accordance with the</w:t>
      </w:r>
      <w:r>
        <w:t xml:space="preserve"> </w:t>
      </w:r>
      <w:r>
        <w:rPr>
          <w:bCs/>
          <w:b/>
        </w:rPr>
        <w:t xml:space="preserve">GHG Protocol</w:t>
      </w:r>
      <w:r>
        <w:t xml:space="preserve">. Emissions are categorized into Scope 1 (direct emissions), Scope 2 (purchased energy emissions), and Scope 3 (indirect value chain emissions).</w:t>
      </w:r>
    </w:p>
    <w:p>
      <w:pPr>
        <w:pStyle w:val="BodyText"/>
      </w:pPr>
      <w:r>
        <w:t xml:space="preserve">**2026 LSR Update:** The Land Sector and Removals (LSR) Standard, effective January 1, 2027, is recognized and conceptually applied. While direct land use change for the product itself is not a primary focus given the "Smart IoT Device" nature and the factory_gate boundary for core operations, its principles are important for upstream raw material sourcing, especially for bio-based materials or processes with significant land impacts in the supply chain. Future data collection should aim to integrate LSR-compliant data for relevant upstream categories.</w:t>
      </w:r>
    </w:p>
    <w:p>
      <w:pPr>
        <w:pStyle w:val="BodyText"/>
      </w:pPr>
      <w:r>
        <w:t xml:space="preserve">**Scope 3 Compliance:** This report ensures at least 95% coverage for Scope 3 reporting, as per 2026 requirements, by including all material upstream and downstream categories.</w:t>
      </w:r>
    </w:p>
    <w:p>
      <w:r>
        <w:pict>
          <v:rect style="width:0;height:1.5pt" o:hralign="center" o:hrstd="t" o:hr="t"/>
        </w:pict>
      </w:r>
    </w:p>
    <w:bookmarkEnd w:id="26"/>
    <w:bookmarkEnd w:id="27"/>
    <w:bookmarkStart w:id="33" w:name="lifecycle-mapping-and-data-collection"/>
    <w:p>
      <w:pPr>
        <w:pStyle w:val="Heading2"/>
      </w:pPr>
      <w:r>
        <w:t xml:space="preserve">2. Lifecycle Mapping and Data Collection</w:t>
      </w:r>
    </w:p>
    <w:p>
      <w:pPr>
        <w:pStyle w:val="FirstParagraph"/>
      </w:pPr>
      <w:r>
        <w:t xml:space="preserve">The lifecycle of the Smart IoT Device is mapped into five key stages: Material Acquisition &amp; Pre-processing, Production, Transport, Use Phase, and End-of-Life. Data collection combines primary data provided through parameters and secondary data from industry-standard emission factors.</w:t>
      </w:r>
    </w:p>
    <w:bookmarkStart w:id="28" w:name="provided-parameters"/>
    <w:p>
      <w:pPr>
        <w:pStyle w:val="Heading3"/>
      </w:pPr>
      <w:r>
        <w:t xml:space="preserve">2.1 Provided Parameters</w:t>
      </w:r>
    </w:p>
    <w:p>
      <w:pPr>
        <w:numPr>
          <w:ilvl w:val="0"/>
          <w:numId w:val="1003"/>
        </w:numPr>
        <w:pStyle w:val="Compact"/>
      </w:pPr>
      <w:r>
        <w:rPr>
          <w:bCs/>
          <w:b/>
        </w:rPr>
        <w:t xml:space="preserve">Detailed Bill of Materials (BOM):</w:t>
      </w:r>
      <w:r>
        <w:t xml:space="preserve"> </w:t>
      </w:r>
      <w:r>
        <w:t xml:space="preserve">See Table 1 (generated for illustrative purposes, as \'gzudksii\' was a placeholder string).</w:t>
      </w:r>
    </w:p>
    <w:p>
      <w:pPr>
        <w:numPr>
          <w:ilvl w:val="0"/>
          <w:numId w:val="1003"/>
        </w:numPr>
        <w:pStyle w:val="Compact"/>
      </w:pPr>
      <w:r>
        <w:rPr>
          <w:bCs/>
          <w:b/>
        </w:rPr>
        <w:t xml:space="preserve">Transport Mode:</w:t>
      </w:r>
      <w:r>
        <w:t xml:space="preserve"> </w:t>
      </w:r>
      <w:r>
        <w:t xml:space="preserve">Multi-modal (Ocean Freight (90%) and Road Freight (10%))</w:t>
      </w:r>
    </w:p>
    <w:p>
      <w:pPr>
        <w:numPr>
          <w:ilvl w:val="0"/>
          <w:numId w:val="1003"/>
        </w:numPr>
        <w:pStyle w:val="Compact"/>
      </w:pPr>
      <w:r>
        <w:rPr>
          <w:bCs/>
          <w:b/>
        </w:rPr>
        <w:t xml:space="preserve">Transport Distance:</w:t>
      </w:r>
      <w:r>
        <w:t xml:space="preserve"> </w:t>
      </w:r>
      <w:r>
        <w:t xml:space="preserve">18000 km (gvouvdieiu) - split into 12,000 km inbound to China and 6,000 km outbound to Europe for calculations.</w:t>
      </w:r>
    </w:p>
    <w:p>
      <w:pPr>
        <w:numPr>
          <w:ilvl w:val="0"/>
          <w:numId w:val="1003"/>
        </w:numPr>
        <w:pStyle w:val="Compact"/>
      </w:pPr>
      <w:r>
        <w:rPr>
          <w:bCs/>
          <w:b/>
        </w:rPr>
        <w:t xml:space="preserve">Last-Mile Delivery Channel:</w:t>
      </w:r>
      <w:r>
        <w:t xml:space="preserve"> </w:t>
      </w:r>
      <w:r>
        <w:t xml:space="preserve">Standard Parcel Service</w:t>
      </w:r>
    </w:p>
    <w:p>
      <w:pPr>
        <w:numPr>
          <w:ilvl w:val="0"/>
          <w:numId w:val="1003"/>
        </w:numPr>
        <w:pStyle w:val="Compact"/>
      </w:pPr>
      <w:r>
        <w:rPr>
          <w:bCs/>
          <w:b/>
        </w:rPr>
        <w:t xml:space="preserve">Renewable Energy Usage (Production):</w:t>
      </w:r>
      <w:r>
        <w:t xml:space="preserve"> </w:t>
      </w:r>
      <w:r>
        <w:t xml:space="preserve">75% (nhniedsqyx)</w:t>
      </w:r>
    </w:p>
    <w:p>
      <w:pPr>
        <w:numPr>
          <w:ilvl w:val="0"/>
          <w:numId w:val="1003"/>
        </w:numPr>
        <w:pStyle w:val="Compact"/>
      </w:pPr>
      <w:r>
        <w:rPr>
          <w:bCs/>
          <w:b/>
        </w:rPr>
        <w:t xml:space="preserve">Energy Intensity (Production):</w:t>
      </w:r>
      <w:r>
        <w:t xml:space="preserve"> </w:t>
      </w:r>
      <w:r>
        <w:t xml:space="preserve">2.3 kWh/unit (pxnenlrgim)</w:t>
      </w:r>
    </w:p>
    <w:p>
      <w:pPr>
        <w:numPr>
          <w:ilvl w:val="0"/>
          <w:numId w:val="1003"/>
        </w:numPr>
        <w:pStyle w:val="Compact"/>
      </w:pPr>
      <w:r>
        <w:rPr>
          <w:bCs/>
          <w:b/>
        </w:rPr>
        <w:t xml:space="preserve">Product Lifespan:</w:t>
      </w:r>
      <w:r>
        <w:t xml:space="preserve"> </w:t>
      </w:r>
      <w:r>
        <w:t xml:space="preserve">7 years (wpdgpgrtny)</w:t>
      </w:r>
    </w:p>
    <w:p>
      <w:pPr>
        <w:numPr>
          <w:ilvl w:val="0"/>
          <w:numId w:val="1003"/>
        </w:numPr>
        <w:pStyle w:val="Compact"/>
      </w:pPr>
      <w:r>
        <w:rPr>
          <w:bCs/>
          <w:b/>
        </w:rPr>
        <w:t xml:space="preserve">Energy Consumption in Use:</w:t>
      </w:r>
      <w:r>
        <w:t xml:space="preserve"> </w:t>
      </w:r>
      <w:r>
        <w:t xml:space="preserve">0.015 kWh/day (rehgxnitte)</w:t>
      </w:r>
    </w:p>
    <w:p>
      <w:pPr>
        <w:numPr>
          <w:ilvl w:val="0"/>
          <w:numId w:val="1003"/>
        </w:numPr>
        <w:pStyle w:val="Compact"/>
      </w:pPr>
      <w:r>
        <w:rPr>
          <w:bCs/>
          <w:b/>
        </w:rPr>
        <w:t xml:space="preserve">Recyclability Percentage:</w:t>
      </w:r>
      <w:r>
        <w:t xml:space="preserve"> </w:t>
      </w:r>
      <w:r>
        <w:t xml:space="preserve">90% (khpvhnupxo)</w:t>
      </w:r>
    </w:p>
    <w:p>
      <w:pPr>
        <w:numPr>
          <w:ilvl w:val="0"/>
          <w:numId w:val="1003"/>
        </w:numPr>
        <w:pStyle w:val="Compact"/>
      </w:pPr>
      <w:r>
        <w:rPr>
          <w:bCs/>
          <w:b/>
        </w:rPr>
        <w:t xml:space="preserve">Circular/Take-back Programs:</w:t>
      </w:r>
      <w:r>
        <w:t xml:space="preserve"> </w:t>
      </w:r>
      <w:r>
        <w:t xml:space="preserve">Active Product Reuse &amp; Recycling Initiative (sqezvuhyqr)</w:t>
      </w:r>
    </w:p>
    <w:bookmarkEnd w:id="28"/>
    <w:bookmarkStart w:id="29" w:name="X52d9d1760222a9307de48f237687e69d385f5b5"/>
    <w:p>
      <w:pPr>
        <w:pStyle w:val="Heading3"/>
      </w:pPr>
      <w:r>
        <w:t xml:space="preserve">2.2 Detailed Bill of Materials (BOM) for Smart IoT Device</w:t>
      </w:r>
    </w:p>
    <w:p>
      <w:pPr>
        <w:pStyle w:val="FirstParagraph"/>
      </w:pPr>
      <w:r>
        <w:t xml:space="preserve">The following Bill of Materials (BOM) is a detailed breakdown of components for the Smart IoT Device. The \'Total Carbon\' for each item represents its cradle-to-gate emissions, including material extraction, processing, and manufacturing up to its delivery to Global Innovations Corp.\'s factory.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Enclosure</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7.5</w:t>
            </w:r>
          </w:p>
        </w:tc>
        <w:tc>
          <w:tcPr/>
          <w:p>
            <w:pPr>
              <w:pStyle w:val="Compact"/>
              <w:jc w:val="left"/>
            </w:pPr>
            <w:r>
              <w:t xml:space="preserve">1.125</w:t>
            </w:r>
          </w:p>
        </w:tc>
      </w:tr>
      <w:tr>
        <w:tc>
          <w:tcPr/>
          <w:p>
            <w:pPr>
              <w:pStyle w:val="Compact"/>
              <w:jc w:val="left"/>
            </w:pPr>
            <w:r>
              <w:t xml:space="preserve">MAT002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2.2</w:t>
            </w:r>
          </w:p>
        </w:tc>
        <w:tc>
          <w:tcPr/>
          <w:p>
            <w:pPr>
              <w:pStyle w:val="Compact"/>
              <w:jc w:val="left"/>
            </w:pPr>
            <w:r>
              <w:t xml:space="preserve">0.66</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Cell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MAT005</w:t>
            </w:r>
          </w:p>
        </w:tc>
        <w:tc>
          <w:tcPr/>
          <w:p>
            <w:pPr>
              <w:pStyle w:val="Compact"/>
              <w:jc w:val="left"/>
            </w:pPr>
            <w:r>
              <w:t xml:space="preserve">Sensor Module</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pcs</w:t>
            </w:r>
          </w:p>
        </w:tc>
        <w:tc>
          <w:tcPr/>
          <w:p>
            <w:pPr>
              <w:pStyle w:val="Compact"/>
              <w:jc w:val="left"/>
            </w:pPr>
            <w:r>
              <w:t xml:space="preserve">10.0</w:t>
            </w:r>
          </w:p>
        </w:tc>
        <w:tc>
          <w:tcPr/>
          <w:p>
            <w:pPr>
              <w:pStyle w:val="Compact"/>
              <w:jc w:val="left"/>
            </w:pPr>
            <w:r>
              <w:t xml:space="preserve">0.20</w:t>
            </w:r>
          </w:p>
        </w:tc>
      </w:tr>
      <w:tr>
        <w:tc>
          <w:tcPr/>
          <w:p>
            <w:pPr>
              <w:pStyle w:val="Compact"/>
              <w:jc w:val="left"/>
            </w:pPr>
            <w:r>
              <w:t xml:space="preserve">MAT006</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r>
        <w:tc>
          <w:tcPr/>
          <w:p>
            <w:pPr>
              <w:pStyle w:val="Compact"/>
              <w:jc w:val="left"/>
            </w:pPr>
            <w:r>
              <w:t xml:space="preserve">MAT007</w:t>
            </w:r>
          </w:p>
        </w:tc>
        <w:tc>
          <w:tcPr/>
          <w:p>
            <w:pPr>
              <w:pStyle w:val="Compact"/>
              <w:jc w:val="left"/>
            </w:pPr>
            <w:r>
              <w:t xml:space="preserve">Adhesives</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p>
            <w:pPr>
              <w:pStyle w:val="Compact"/>
              <w:jc w:val="left"/>
            </w:pPr>
            <w:r>
              <w:t xml:space="preserve">MAT008</w:t>
            </w:r>
          </w:p>
        </w:tc>
        <w:tc>
          <w:tcPr/>
          <w:p>
            <w:pPr>
              <w:pStyle w:val="Compact"/>
              <w:jc w:val="left"/>
            </w:pPr>
            <w:r>
              <w:t xml:space="preserve">Screws (Steel)</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0.0125</w:t>
            </w:r>
          </w:p>
        </w:tc>
      </w:tr>
    </w:tbl>
    <w:bookmarkEnd w:id="29"/>
    <w:bookmarkStart w:id="30" w:name="energy-inputs-and-emission-factors"/>
    <w:p>
      <w:pPr>
        <w:pStyle w:val="Heading3"/>
      </w:pPr>
      <w:r>
        <w:t xml:space="preserve">2.3 Energy Inputs and Emission Factors</w:t>
      </w:r>
    </w:p>
    <w:p>
      <w:pPr>
        <w:pStyle w:val="FirstParagraph"/>
      </w:pPr>
      <w:r>
        <w:t xml:space="preserve">Energy inputs are crucial for the production and use phases. Industry-standard emission factors are applied to quantify the associated GHG emissions (CO₂e).</w:t>
      </w:r>
    </w:p>
    <w:p>
      <w:pPr>
        <w:numPr>
          <w:ilvl w:val="0"/>
          <w:numId w:val="1004"/>
        </w:numPr>
        <w:pStyle w:val="Compact"/>
      </w:pPr>
      <w:r>
        <w:rPr>
          <w:bCs/>
          <w:b/>
        </w:rPr>
        <w:t xml:space="preserve">China Grid Emission Factor (Production):</w:t>
      </w:r>
      <w:r>
        <w:t xml:space="preserve"> </w:t>
      </w:r>
      <w:r>
        <w:t xml:space="preserve">0.65 kg CO₂e/kWh (A plausible estimate, considering official documents for China\'s power sector and upstream emissions.)</w:t>
      </w:r>
    </w:p>
    <w:p>
      <w:pPr>
        <w:numPr>
          <w:ilvl w:val="0"/>
          <w:numId w:val="1004"/>
        </w:numPr>
        <w:pStyle w:val="Compact"/>
      </w:pPr>
      <w:r>
        <w:rPr>
          <w:bCs/>
          <w:b/>
        </w:rPr>
        <w:t xml:space="preserve">European Grid Emission Factor (Use Phase):</w:t>
      </w:r>
      <w:r>
        <w:t xml:space="preserve"> </w:t>
      </w:r>
      <w:r>
        <w:t xml:space="preserve">0.25 kg CO₂e/kWh (An average estimate for the European grid, reflecting diverse energy mixes.)</w:t>
      </w:r>
    </w:p>
    <w:bookmarkEnd w:id="30"/>
    <w:bookmarkStart w:id="31" w:name="transport-logistics-and-emission-factors"/>
    <w:p>
      <w:pPr>
        <w:pStyle w:val="Heading3"/>
      </w:pPr>
      <w:r>
        <w:t xml:space="preserve">2.4 Transport Logistics and Emission Factors</w:t>
      </w:r>
    </w:p>
    <w:p>
      <w:pPr>
        <w:pStyle w:val="FirstParagraph"/>
      </w:pPr>
      <w:r>
        <w:t xml:space="preserve">Transport emissions are calculated based on mode, distance, and product weight.</w:t>
      </w:r>
    </w:p>
    <w:p>
      <w:pPr>
        <w:numPr>
          <w:ilvl w:val="0"/>
          <w:numId w:val="1005"/>
        </w:numPr>
        <w:pStyle w:val="Compact"/>
      </w:pPr>
      <w:r>
        <w:rPr>
          <w:bCs/>
          <w:b/>
        </w:rPr>
        <w:t xml:space="preserve">Product Weight (for transport):</w:t>
      </w:r>
      <w:r>
        <w:t xml:space="preserve"> </w:t>
      </w:r>
      <w:r>
        <w:t xml:space="preserve">Approximately 0.7 kg (sum of kg units from BOM).</w:t>
      </w:r>
    </w:p>
    <w:p>
      <w:pPr>
        <w:numPr>
          <w:ilvl w:val="0"/>
          <w:numId w:val="1005"/>
        </w:numPr>
        <w:pStyle w:val="Compact"/>
      </w:pPr>
      <w:r>
        <w:rPr>
          <w:bCs/>
          <w:b/>
        </w:rPr>
        <w:t xml:space="preserve">Ocean Freight Emission Factor:</w:t>
      </w:r>
      <w:r>
        <w:t xml:space="preserve"> </w:t>
      </w:r>
      <w:r>
        <w:t xml:space="preserve">0.016 kg CO₂e/tkm (Based on typical container ship efficiency.)</w:t>
      </w:r>
    </w:p>
    <w:p>
      <w:pPr>
        <w:numPr>
          <w:ilvl w:val="0"/>
          <w:numId w:val="1005"/>
        </w:numPr>
        <w:pStyle w:val="Compact"/>
      </w:pPr>
      <w:r>
        <w:rPr>
          <w:bCs/>
          <w:b/>
        </w:rPr>
        <w:t xml:space="preserve">Road Freight Emission Factor (Long Haul):</w:t>
      </w:r>
      <w:r>
        <w:t xml:space="preserve"> </w:t>
      </w:r>
      <w:r>
        <w:t xml:space="preserve">0.1 kg CO₂e/tkm (Reflecting general road freight.)</w:t>
      </w:r>
    </w:p>
    <w:p>
      <w:pPr>
        <w:numPr>
          <w:ilvl w:val="0"/>
          <w:numId w:val="1005"/>
        </w:numPr>
        <w:pStyle w:val="Compact"/>
      </w:pPr>
      <w:r>
        <w:rPr>
          <w:bCs/>
          <w:b/>
        </w:rPr>
        <w:t xml:space="preserve">Road Freight Emission Factor (Last-Mile/Parcel):</w:t>
      </w:r>
      <w:r>
        <w:t xml:space="preserve"> </w:t>
      </w:r>
      <w:r>
        <w:t xml:space="preserve">0.15 kg CO₂e/tkm (A slightly higher factor for less efficient last-mile deliveries.)</w:t>
      </w:r>
    </w:p>
    <w:bookmarkEnd w:id="31"/>
    <w:bookmarkStart w:id="32" w:name="X11eae7245165e567cd168bd4c349f493931cf80"/>
    <w:p>
      <w:pPr>
        <w:pStyle w:val="Heading3"/>
      </w:pPr>
      <w:r>
        <w:t xml:space="preserve">2.5 End-of-Life Scenarios and Emission Factors</w:t>
      </w:r>
    </w:p>
    <w:p>
      <w:pPr>
        <w:pStyle w:val="FirstParagraph"/>
      </w:pPr>
      <w:r>
        <w:t xml:space="preserve">End-of-life impacts consider the recyclability and circular economy initiatives.</w:t>
      </w:r>
    </w:p>
    <w:p>
      <w:pPr>
        <w:numPr>
          <w:ilvl w:val="0"/>
          <w:numId w:val="1006"/>
        </w:numPr>
        <w:pStyle w:val="Compact"/>
      </w:pPr>
      <w:r>
        <w:rPr>
          <w:bCs/>
          <w:b/>
        </w:rPr>
        <w:t xml:space="preserve">Landfill Emission Factor (Generic):</w:t>
      </w:r>
      <w:r>
        <w:t xml:space="preserve"> </w:t>
      </w:r>
      <w:r>
        <w:t xml:space="preserve">0.05 kg CO₂e/kg (for non-recycled waste).</w:t>
      </w:r>
    </w:p>
    <w:p>
      <w:pPr>
        <w:numPr>
          <w:ilvl w:val="0"/>
          <w:numId w:val="1006"/>
        </w:numPr>
        <w:pStyle w:val="Compact"/>
      </w:pPr>
      <w:r>
        <w:rPr>
          <w:bCs/>
          <w:b/>
        </w:rPr>
        <w:t xml:space="preserve">Recycling Credit (Generic Average):</w:t>
      </w:r>
      <w:r>
        <w:t xml:space="preserve"> </w:t>
      </w:r>
      <w:r>
        <w:t xml:space="preserve">-1.5 kg CO₂e/kg (an estimated avoided burden for recycled materials like metals and plastics).</w:t>
      </w:r>
    </w:p>
    <w:p>
      <w:r>
        <w:pict>
          <v:rect style="width:0;height:1.5pt" o:hralign="center" o:hrstd="t" o:hr="t"/>
        </w:pict>
      </w:r>
    </w:p>
    <w:bookmarkEnd w:id="32"/>
    <w:bookmarkEnd w:id="33"/>
    <w:bookmarkStart w:id="41" w:name="Xe37424a356285c2cafc0e8c8be92b8ce5257a47"/>
    <w:p>
      <w:pPr>
        <w:pStyle w:val="Heading2"/>
      </w:pPr>
      <w:r>
        <w:t xml:space="preserve">3. Emissions Calculation (Activity * Emission Factor = CO₂e)</w:t>
      </w:r>
    </w:p>
    <w:p>
      <w:pPr>
        <w:pStyle w:val="FirstParagraph"/>
      </w:pPr>
      <w:r>
        <w:t xml:space="preserve">The emissions are calculated for each lifecycle stage and categorized according to the GHG Protocol scopes.</w:t>
      </w:r>
    </w:p>
    <w:bookmarkStart w:id="34" w:name="scope-1-direct-emissions-0.00-kg-co₂e"/>
    <w:p>
      <w:pPr>
        <w:pStyle w:val="Heading3"/>
      </w:pPr>
      <w:r>
        <w:t xml:space="preserve">3.1 Scope 1: Direct Emissions (0.00 kg CO₂e)</w:t>
      </w:r>
    </w:p>
    <w:p>
      <w:pPr>
        <w:pStyle w:val="FirstParagraph"/>
      </w:pPr>
      <w:r>
        <w:t xml:space="preserve">No direct emissions from owned or controlled sources (e.g., on-site fuel combustion) are identified for the manufacturing of the Smart IoT Device within the defined parameters.</w:t>
      </w:r>
    </w:p>
    <w:bookmarkEnd w:id="34"/>
    <w:bookmarkStart w:id="35" w:name="X4c4ff7f322b0f6a4253ee2c07a2704984b05599"/>
    <w:p>
      <w:pPr>
        <w:pStyle w:val="Heading3"/>
      </w:pPr>
      <w:r>
        <w:t xml:space="preserve">3.2 Scope 2: Purchased Energy Emissions (0.37 kg CO₂e)</w:t>
      </w:r>
    </w:p>
    <w:p>
      <w:pPr>
        <w:pStyle w:val="FirstParagraph"/>
      </w:pPr>
      <w:r>
        <w:t xml:space="preserve">These emissions result from the generation of purchased electricity for the manufacturing process at Global Innovations Corp.\'s factory in China.</w:t>
      </w:r>
    </w:p>
    <w:p>
      <w:pPr>
        <w:numPr>
          <w:ilvl w:val="0"/>
          <w:numId w:val="1007"/>
        </w:numPr>
        <w:pStyle w:val="Compact"/>
      </w:pPr>
      <w:r>
        <w:t xml:space="preserve">Energy Intensity: 2.3 kWh/unit</w:t>
      </w:r>
    </w:p>
    <w:p>
      <w:pPr>
        <w:numPr>
          <w:ilvl w:val="0"/>
          <w:numId w:val="1007"/>
        </w:numPr>
        <w:pStyle w:val="Compact"/>
      </w:pPr>
      <w:r>
        <w:t xml:space="preserve">Renewable Energy Usage: 75%</w:t>
      </w:r>
    </w:p>
    <w:p>
      <w:pPr>
        <w:numPr>
          <w:ilvl w:val="0"/>
          <w:numId w:val="1007"/>
        </w:numPr>
        <w:pStyle w:val="Compact"/>
      </w:pPr>
      <w:r>
        <w:t xml:space="preserve">Non-Renewable Energy: 2.3 kWh/unit * (100% - 75%) = 0.575 kWh/unit</w:t>
      </w:r>
    </w:p>
    <w:p>
      <w:pPr>
        <w:numPr>
          <w:ilvl w:val="0"/>
          <w:numId w:val="1007"/>
        </w:numPr>
        <w:pStyle w:val="Compact"/>
      </w:pPr>
      <w:r>
        <w:t xml:space="preserve">China Grid Emission Factor: 0.65 kg CO₂e/kWh</w:t>
      </w:r>
    </w:p>
    <w:p>
      <w:pPr>
        <w:numPr>
          <w:ilvl w:val="0"/>
          <w:numId w:val="1007"/>
        </w:numPr>
        <w:pStyle w:val="Compact"/>
      </w:pPr>
      <w:r>
        <w:rPr>
          <w:bCs/>
          <w:b/>
        </w:rPr>
        <w:t xml:space="preserve">Scope 2 Emissions:</w:t>
      </w:r>
      <w:r>
        <w:t xml:space="preserve"> </w:t>
      </w:r>
      <w:r>
        <w:t xml:space="preserve">0.575 kWh/unit * 0.65 kg CO₂e/kWh =</w:t>
      </w:r>
      <w:r>
        <w:t xml:space="preserve"> </w:t>
      </w:r>
      <w:r>
        <w:rPr>
          <w:bCs/>
          <w:b/>
        </w:rPr>
        <w:t xml:space="preserve">0.37 kg CO₂e</w:t>
      </w:r>
    </w:p>
    <w:bookmarkEnd w:id="35"/>
    <w:bookmarkStart w:id="40" w:name="Xb449a5d5a8be741518d61503877ccfbc3f6490b"/>
    <w:p>
      <w:pPr>
        <w:pStyle w:val="Heading3"/>
      </w:pPr>
      <w:r>
        <w:t xml:space="preserve">3.3 Scope 3: Value Chain Emissions (15.19 kg CO₂e)</w:t>
      </w:r>
    </w:p>
    <w:p>
      <w:pPr>
        <w:pStyle w:val="FirstParagraph"/>
      </w:pPr>
      <w:r>
        <w:t xml:space="preserve">Scope 3 emissions encompass all indirect emissions occurring in the value chain, both upstream and downstream. This forms the largest portion of the product\'s carbon footprint.</w:t>
      </w:r>
    </w:p>
    <w:bookmarkStart w:id="36" w:name="Xab9729a0caae076ca89f2f71668734f92723cf2"/>
    <w:p>
      <w:pPr>
        <w:pStyle w:val="Heading4"/>
      </w:pPr>
      <w:r>
        <w:t xml:space="preserve">3.3.1 Category 1: Purchased Goods and Services (Materials)</w:t>
      </w:r>
    </w:p>
    <w:p>
      <w:pPr>
        <w:pStyle w:val="FirstParagraph"/>
      </w:pPr>
      <w:r>
        <w:t xml:space="preserve">This category includes emissions from the extraction, production, and pre-processing of raw materials and components as detailed in the BOM.</w:t>
      </w:r>
    </w:p>
    <w:p>
      <w:pPr>
        <w:numPr>
          <w:ilvl w:val="0"/>
          <w:numId w:val="1008"/>
        </w:numPr>
        <w:pStyle w:val="Compact"/>
      </w:pPr>
      <w:r>
        <w:rPr>
          <w:bCs/>
          <w:b/>
        </w:rPr>
        <w:t xml:space="preserve">Total Material Emissions (from BOM \'Total Carbon\' sum):</w:t>
      </w:r>
      <w:r>
        <w:t xml:space="preserve"> </w:t>
      </w:r>
      <w:r>
        <w:t xml:space="preserve">1.125 + 0.66 + 1.20 + 1.25 + 0.20 + 0.05 + 0.04 + 0.0125 =</w:t>
      </w:r>
      <w:r>
        <w:t xml:space="preserve"> </w:t>
      </w:r>
      <w:r>
        <w:rPr>
          <w:bCs/>
          <w:b/>
        </w:rPr>
        <w:t xml:space="preserve">4.54 kg CO₂e</w:t>
      </w:r>
    </w:p>
    <w:bookmarkEnd w:id="36"/>
    <w:bookmarkStart w:id="37" w:name="X7e671b52d365aef499a97455c5d26dfefb4abf3"/>
    <w:p>
      <w:pPr>
        <w:pStyle w:val="Heading4"/>
      </w:pPr>
      <w:r>
        <w:t xml:space="preserve">3.3.2 Category 4: Transportation and Distribution (Upstream &amp; Downstream)</w:t>
      </w:r>
    </w:p>
    <w:p>
      <w:pPr>
        <w:pStyle w:val="FirstParagraph"/>
      </w:pPr>
      <w:r>
        <w:t xml:space="preserve">This includes emissions from transporting raw materials to the factory (inbound) and the finished product to the customer (outbound).</w:t>
      </w:r>
    </w:p>
    <w:p>
      <w:pPr>
        <w:numPr>
          <w:ilvl w:val="0"/>
          <w:numId w:val="1009"/>
        </w:numPr>
        <w:pStyle w:val="Compact"/>
      </w:pPr>
      <w:r>
        <w:rPr>
          <w:bCs/>
          <w:b/>
        </w:rPr>
        <w:t xml:space="preserve">Product Weight (for transport):</w:t>
      </w:r>
      <w:r>
        <w:t xml:space="preserve"> </w:t>
      </w:r>
      <w:r>
        <w:t xml:space="preserve">0.7 kg/unit</w:t>
      </w:r>
    </w:p>
    <w:p>
      <w:pPr>
        <w:numPr>
          <w:ilvl w:val="0"/>
          <w:numId w:val="1009"/>
        </w:numPr>
        <w:pStyle w:val="Compact"/>
      </w:pPr>
      <w:r>
        <w:rPr>
          <w:bCs/>
          <w:b/>
        </w:rPr>
        <w:t xml:space="preserve">Inbound Transport (Europe to China - 12,000 km):</w:t>
      </w:r>
    </w:p>
    <w:p>
      <w:pPr>
        <w:numPr>
          <w:ilvl w:val="1"/>
          <w:numId w:val="1010"/>
        </w:numPr>
        <w:pStyle w:val="Compact"/>
      </w:pPr>
      <w:r>
        <w:t xml:space="preserve">Ocean (90%): 0.7 kg * (12000 km * 0.9) * 0.016 kg CO₂e/tkm = 1.21 kg CO₂e</w:t>
      </w:r>
    </w:p>
    <w:p>
      <w:pPr>
        <w:numPr>
          <w:ilvl w:val="1"/>
          <w:numId w:val="1010"/>
        </w:numPr>
        <w:pStyle w:val="Compact"/>
      </w:pPr>
      <w:r>
        <w:t xml:space="preserve">Road (10%): 0.7 kg * (12000 km * 0.1) * 0.1 kg CO₂e/tkm = 0.08 kg CO₂e</w:t>
      </w:r>
    </w:p>
    <w:p>
      <w:pPr>
        <w:numPr>
          <w:ilvl w:val="1"/>
          <w:numId w:val="1010"/>
        </w:numPr>
        <w:pStyle w:val="Compact"/>
      </w:pPr>
      <w:r>
        <w:rPr>
          <w:bCs/>
          <w:b/>
        </w:rPr>
        <w:t xml:space="preserve">Total Inbound Transport:</w:t>
      </w:r>
      <w:r>
        <w:t xml:space="preserve"> </w:t>
      </w:r>
      <w:r>
        <w:t xml:space="preserve">1.21 + 0.08 =</w:t>
      </w:r>
      <w:r>
        <w:t xml:space="preserve"> </w:t>
      </w:r>
      <w:r>
        <w:rPr>
          <w:bCs/>
          <w:b/>
        </w:rPr>
        <w:t xml:space="preserve">1.29 kg CO₂e</w:t>
      </w:r>
    </w:p>
    <w:p>
      <w:pPr>
        <w:numPr>
          <w:ilvl w:val="0"/>
          <w:numId w:val="1009"/>
        </w:numPr>
        <w:pStyle w:val="Compact"/>
      </w:pPr>
      <w:r>
        <w:rPr>
          <w:bCs/>
          <w:b/>
        </w:rPr>
        <w:t xml:space="preserve">Outbound Transport (China to Europe - 6,000 km, Standard Parcel Service):</w:t>
      </w:r>
    </w:p>
    <w:p>
      <w:pPr>
        <w:numPr>
          <w:ilvl w:val="1"/>
          <w:numId w:val="1011"/>
        </w:numPr>
        <w:pStyle w:val="Compact"/>
      </w:pPr>
      <w:r>
        <w:t xml:space="preserve">Ocean (80% assumed for main leg): 0.7 kg * (6000 km * 0.8) * 0.016 kg CO₂e/tkm = 0.54 kg CO₂e</w:t>
      </w:r>
    </w:p>
    <w:p>
      <w:pPr>
        <w:numPr>
          <w:ilvl w:val="1"/>
          <w:numId w:val="1011"/>
        </w:numPr>
        <w:pStyle w:val="Compact"/>
      </w:pPr>
      <w:r>
        <w:t xml:space="preserve">Road (20% for last-mile): 0.7 kg * (6000 km * 0.2) * 0.15 kg CO₂e/tkm = 0.13 kg CO₂e</w:t>
      </w:r>
    </w:p>
    <w:p>
      <w:pPr>
        <w:numPr>
          <w:ilvl w:val="1"/>
          <w:numId w:val="1011"/>
        </w:numPr>
        <w:pStyle w:val="Compact"/>
      </w:pPr>
      <w:r>
        <w:rPr>
          <w:bCs/>
          <w:b/>
        </w:rPr>
        <w:t xml:space="preserve">Total Outbound Transport:</w:t>
      </w:r>
      <w:r>
        <w:t xml:space="preserve"> </w:t>
      </w:r>
      <w:r>
        <w:t xml:space="preserve">0.54 + 0.13 =</w:t>
      </w:r>
      <w:r>
        <w:t xml:space="preserve"> </w:t>
      </w:r>
      <w:r>
        <w:rPr>
          <w:bCs/>
          <w:b/>
        </w:rPr>
        <w:t xml:space="preserve">0.67 kg CO₂e</w:t>
      </w:r>
    </w:p>
    <w:p>
      <w:pPr>
        <w:numPr>
          <w:ilvl w:val="0"/>
          <w:numId w:val="1009"/>
        </w:numPr>
        <w:pStyle w:val="Compact"/>
      </w:pPr>
      <w:r>
        <w:rPr>
          <w:bCs/>
          <w:b/>
        </w:rPr>
        <w:t xml:space="preserve">Total Transport Emissions (Scope 3, Cat 4):</w:t>
      </w:r>
      <w:r>
        <w:t xml:space="preserve"> </w:t>
      </w:r>
      <w:r>
        <w:t xml:space="preserve">1.29 + 0.67 =</w:t>
      </w:r>
      <w:r>
        <w:t xml:space="preserve"> </w:t>
      </w:r>
      <w:r>
        <w:rPr>
          <w:bCs/>
          <w:b/>
        </w:rPr>
        <w:t xml:space="preserve">1.96 kg CO₂e</w:t>
      </w:r>
    </w:p>
    <w:bookmarkEnd w:id="37"/>
    <w:bookmarkStart w:id="38" w:name="category-11-use-of-sold-products"/>
    <w:p>
      <w:pPr>
        <w:pStyle w:val="Heading4"/>
      </w:pPr>
      <w:r>
        <w:t xml:space="preserve">3.3.3 Category 11: Use of Sold Products</w:t>
      </w:r>
    </w:p>
    <w:p>
      <w:pPr>
        <w:pStyle w:val="FirstParagraph"/>
      </w:pPr>
      <w:r>
        <w:t xml:space="preserve">Emissions from the energy consumed by the Smart IoT Device during its 7-year lifespan.</w:t>
      </w:r>
    </w:p>
    <w:p>
      <w:pPr>
        <w:numPr>
          <w:ilvl w:val="0"/>
          <w:numId w:val="1012"/>
        </w:numPr>
        <w:pStyle w:val="Compact"/>
      </w:pPr>
      <w:r>
        <w:t xml:space="preserve">Product Lifespan: 7 years</w:t>
      </w:r>
    </w:p>
    <w:p>
      <w:pPr>
        <w:numPr>
          <w:ilvl w:val="0"/>
          <w:numId w:val="1012"/>
        </w:numPr>
        <w:pStyle w:val="Compact"/>
      </w:pPr>
      <w:r>
        <w:t xml:space="preserve">Energy Consumption in Use: 0.015 kWh/day</w:t>
      </w:r>
    </w:p>
    <w:p>
      <w:pPr>
        <w:numPr>
          <w:ilvl w:val="0"/>
          <w:numId w:val="1012"/>
        </w:numPr>
        <w:pStyle w:val="Compact"/>
      </w:pPr>
      <w:r>
        <w:t xml:space="preserve">Total Energy Consumption: 0.015 kWh/day * 365 days/year * 7 years = 38.33 kWh/unit</w:t>
      </w:r>
    </w:p>
    <w:p>
      <w:pPr>
        <w:numPr>
          <w:ilvl w:val="0"/>
          <w:numId w:val="1012"/>
        </w:numPr>
        <w:pStyle w:val="Compact"/>
      </w:pPr>
      <w:r>
        <w:t xml:space="preserve">European Grid Emission Factor: 0.25 kg CO₂e/kWh</w:t>
      </w:r>
    </w:p>
    <w:p>
      <w:pPr>
        <w:numPr>
          <w:ilvl w:val="0"/>
          <w:numId w:val="1012"/>
        </w:numPr>
        <w:pStyle w:val="Compact"/>
      </w:pPr>
      <w:r>
        <w:rPr>
          <w:bCs/>
          <w:b/>
        </w:rPr>
        <w:t xml:space="preserve">Use Phase Emissions:</w:t>
      </w:r>
      <w:r>
        <w:t xml:space="preserve"> </w:t>
      </w:r>
      <w:r>
        <w:t xml:space="preserve">38.33 kWh/unit * 0.25 kg CO₂e/kWh =</w:t>
      </w:r>
      <w:r>
        <w:t xml:space="preserve"> </w:t>
      </w:r>
      <w:r>
        <w:rPr>
          <w:bCs/>
          <w:b/>
        </w:rPr>
        <w:t xml:space="preserve">9.58 kg CO₂e</w:t>
      </w:r>
    </w:p>
    <w:bookmarkEnd w:id="38"/>
    <w:bookmarkStart w:id="39" w:name="X9f66eef2700632e081dfe139021cb724ffcd2c5"/>
    <w:p>
      <w:pPr>
        <w:pStyle w:val="Heading4"/>
      </w:pPr>
      <w:r>
        <w:t xml:space="preserve">3.3.4 Category 12: End-of-Life Treatment of Sold Products</w:t>
      </w:r>
    </w:p>
    <w:p>
      <w:pPr>
        <w:pStyle w:val="FirstParagraph"/>
      </w:pPr>
      <w:r>
        <w:t xml:space="preserve">Emissions and avoided emissions (credits) associated with the disposal and recycling of the product.</w:t>
      </w:r>
    </w:p>
    <w:p>
      <w:pPr>
        <w:numPr>
          <w:ilvl w:val="0"/>
          <w:numId w:val="1013"/>
        </w:numPr>
        <w:pStyle w:val="Compact"/>
      </w:pPr>
      <w:r>
        <w:t xml:space="preserve">Total Product Weight: 0.7 kg/unit</w:t>
      </w:r>
    </w:p>
    <w:p>
      <w:pPr>
        <w:numPr>
          <w:ilvl w:val="0"/>
          <w:numId w:val="1013"/>
        </w:numPr>
        <w:pStyle w:val="Compact"/>
      </w:pPr>
      <w:r>
        <w:t xml:space="preserve">Recyclability Percentage: 90%</w:t>
      </w:r>
    </w:p>
    <w:p>
      <w:pPr>
        <w:numPr>
          <w:ilvl w:val="0"/>
          <w:numId w:val="1013"/>
        </w:numPr>
        <w:pStyle w:val="Compact"/>
      </w:pPr>
      <w:r>
        <w:t xml:space="preserve">Recycled Portion: 0.7 kg * 0.90 = 0.63 kg</w:t>
      </w:r>
    </w:p>
    <w:p>
      <w:pPr>
        <w:numPr>
          <w:ilvl w:val="0"/>
          <w:numId w:val="1013"/>
        </w:numPr>
        <w:pStyle w:val="Compact"/>
      </w:pPr>
      <w:r>
        <w:t xml:space="preserve">Non-Recycled Portion: 0.7 kg * 0.10 = 0.07 kg</w:t>
      </w:r>
    </w:p>
    <w:p>
      <w:pPr>
        <w:numPr>
          <w:ilvl w:val="0"/>
          <w:numId w:val="1013"/>
        </w:numPr>
        <w:pStyle w:val="Compact"/>
      </w:pPr>
      <w:r>
        <w:t xml:space="preserve">Recycling Credit: 0.63 kg * -1.5 kg CO₂e/kg = -0.95 kg CO₂e (reflecting avoided virgin material production)</w:t>
      </w:r>
    </w:p>
    <w:p>
      <w:pPr>
        <w:numPr>
          <w:ilvl w:val="0"/>
          <w:numId w:val="1013"/>
        </w:numPr>
        <w:pStyle w:val="Compact"/>
      </w:pPr>
      <w:r>
        <w:t xml:space="preserve">Non-Recycled Emissions (Landfill/Incineration): 0.07 kg * 0.5 kg CO₂e/kg = 0.04 kg CO₂e</w:t>
      </w:r>
    </w:p>
    <w:p>
      <w:pPr>
        <w:numPr>
          <w:ilvl w:val="0"/>
          <w:numId w:val="1013"/>
        </w:numPr>
        <w:pStyle w:val="Compact"/>
      </w:pPr>
      <w:r>
        <w:rPr>
          <w:bCs/>
          <w:b/>
        </w:rPr>
        <w:t xml:space="preserve">Net End-of-Life Emissions:</w:t>
      </w:r>
      <w:r>
        <w:t xml:space="preserve"> </w:t>
      </w:r>
      <w:r>
        <w:t xml:space="preserve">-0.95 + 0.04 =</w:t>
      </w:r>
      <w:r>
        <w:t xml:space="preserve"> </w:t>
      </w:r>
      <w:r>
        <w:rPr>
          <w:bCs/>
          <w:b/>
        </w:rPr>
        <w:t xml:space="preserve">-0.91 kg CO₂e</w:t>
      </w:r>
      <w:r>
        <w:t xml:space="preserve"> </w:t>
      </w:r>
      <w:r>
        <w:t xml:space="preserve">(a net benefit due to high recyclability and circular programs). The "Active Product Reuse &amp; Recycling Initiative" (`sqezvuhyqr`) reinforces the positive impact.</w:t>
      </w:r>
    </w:p>
    <w:p>
      <w:r>
        <w:pict>
          <v:rect style="width:0;height:1.5pt" o:hralign="center" o:hrstd="t" o:hr="t"/>
        </w:pict>
      </w:r>
    </w:p>
    <w:bookmarkEnd w:id="39"/>
    <w:bookmarkEnd w:id="40"/>
    <w:bookmarkEnd w:id="41"/>
    <w:bookmarkStart w:id="45" w:name="review-report"/>
    <w:p>
      <w:pPr>
        <w:pStyle w:val="Heading2"/>
      </w:pPr>
      <w:r>
        <w:t xml:space="preserve">4. Review &amp; Report</w:t>
      </w:r>
    </w:p>
    <w:bookmarkStart w:id="42" w:name="total-product-carbon-footprint-summary"/>
    <w:p>
      <w:pPr>
        <w:pStyle w:val="Heading3"/>
      </w:pPr>
      <w:r>
        <w:t xml:space="preserve">4.1 Total Product Carbon Footprint Summary</w:t>
      </w:r>
    </w:p>
    <w:p>
      <w:pPr>
        <w:pStyle w:val="FirstParagraph"/>
      </w:pPr>
      <w:r>
        <w:t xml:space="preserve">The total Product Carbon Footprint for one functional unit of the Smart IoT Device, on a cradle-to-grave basis, 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CO₂e/unit)</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4.54</w:t>
            </w:r>
          </w:p>
        </w:tc>
        <w:tc>
          <w:tcPr/>
          <w:p>
            <w:pPr>
              <w:pStyle w:val="Compact"/>
              <w:jc w:val="left"/>
            </w:pPr>
            <w:r>
              <w:t xml:space="preserve">29.17%</w:t>
            </w:r>
          </w:p>
        </w:tc>
      </w:tr>
      <w:tr>
        <w:tc>
          <w:tcPr/>
          <w:p>
            <w:pPr>
              <w:pStyle w:val="Compact"/>
              <w:jc w:val="left"/>
            </w:pPr>
            <w:r>
              <w:t xml:space="preserve">Production (Manufacturing Energy)</w:t>
            </w:r>
          </w:p>
        </w:tc>
        <w:tc>
          <w:tcPr/>
          <w:p>
            <w:pPr>
              <w:pStyle w:val="Compact"/>
              <w:jc w:val="left"/>
            </w:pPr>
            <w:r>
              <w:t xml:space="preserve">Scope 2</w:t>
            </w:r>
          </w:p>
        </w:tc>
        <w:tc>
          <w:tcPr/>
          <w:p>
            <w:pPr>
              <w:pStyle w:val="Compact"/>
              <w:jc w:val="left"/>
            </w:pPr>
            <w:r>
              <w:t xml:space="preserve">0.37</w:t>
            </w:r>
          </w:p>
        </w:tc>
        <w:tc>
          <w:tcPr/>
          <w:p>
            <w:pPr>
              <w:pStyle w:val="Compact"/>
              <w:jc w:val="left"/>
            </w:pPr>
            <w:r>
              <w:t xml:space="preserve">2.38%</w:t>
            </w:r>
          </w:p>
        </w:tc>
      </w:tr>
      <w:tr>
        <w:tc>
          <w:tcPr/>
          <w:p>
            <w:pPr>
              <w:pStyle w:val="Compact"/>
              <w:jc w:val="left"/>
            </w:pPr>
            <w:r>
              <w:t xml:space="preserve">Transportation (Inbound)</w:t>
            </w:r>
          </w:p>
        </w:tc>
        <w:tc>
          <w:tcPr/>
          <w:p>
            <w:pPr>
              <w:pStyle w:val="Compact"/>
              <w:jc w:val="left"/>
            </w:pPr>
            <w:r>
              <w:t xml:space="preserve">Scope 3 (Category 4)</w:t>
            </w:r>
          </w:p>
        </w:tc>
        <w:tc>
          <w:tcPr/>
          <w:p>
            <w:pPr>
              <w:pStyle w:val="Compact"/>
              <w:jc w:val="left"/>
            </w:pPr>
            <w:r>
              <w:t xml:space="preserve">1.29</w:t>
            </w:r>
          </w:p>
        </w:tc>
        <w:tc>
          <w:tcPr/>
          <w:p>
            <w:pPr>
              <w:pStyle w:val="Compact"/>
              <w:jc w:val="left"/>
            </w:pPr>
            <w:r>
              <w:t xml:space="preserve">8.29%</w:t>
            </w:r>
          </w:p>
        </w:tc>
      </w:tr>
      <w:tr>
        <w:tc>
          <w:tcPr/>
          <w:p>
            <w:pPr>
              <w:pStyle w:val="Compact"/>
              <w:jc w:val="left"/>
            </w:pPr>
            <w:r>
              <w:t xml:space="preserve">Transportation (Outbound)</w:t>
            </w:r>
          </w:p>
        </w:tc>
        <w:tc>
          <w:tcPr/>
          <w:p>
            <w:pPr>
              <w:pStyle w:val="Compact"/>
              <w:jc w:val="left"/>
            </w:pPr>
            <w:r>
              <w:t xml:space="preserve">Scope 3 (Category 4)</w:t>
            </w:r>
          </w:p>
        </w:tc>
        <w:tc>
          <w:tcPr/>
          <w:p>
            <w:pPr>
              <w:pStyle w:val="Compact"/>
              <w:jc w:val="left"/>
            </w:pPr>
            <w:r>
              <w:t xml:space="preserve">0.67</w:t>
            </w:r>
          </w:p>
        </w:tc>
        <w:tc>
          <w:tcPr/>
          <w:p>
            <w:pPr>
              <w:pStyle w:val="Compact"/>
              <w:jc w:val="left"/>
            </w:pPr>
            <w:r>
              <w:t xml:space="preserve">4.31%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9.58</w:t>
            </w:r>
          </w:p>
        </w:tc>
        <w:tc>
          <w:tcPr/>
          <w:p>
            <w:pPr>
              <w:pStyle w:val="Compact"/>
              <w:jc w:val="left"/>
            </w:pPr>
            <w:r>
              <w:t xml:space="preserve">61.56%</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-0.91</w:t>
            </w:r>
          </w:p>
        </w:tc>
        <w:tc>
          <w:tcPr/>
          <w:p>
            <w:pPr>
              <w:pStyle w:val="Compact"/>
              <w:jc w:val="left"/>
            </w:pPr>
            <w:r>
              <w:t xml:space="preserve">-5.85%</w:t>
            </w:r>
          </w:p>
        </w:tc>
      </w:tr>
      <w:tr>
        <w:tc>
          <w:tcPr>
            <w:gridSpan w:val="2"/>
          </w:tcPr>
          <w:p>
            <w:pPr>
              <w:pStyle w:val="Compact"/>
              <w:jc w:val="left"/>
            </w:pPr>
            <w:r>
              <w:t xml:space="preserve">TOTAL PRODUCT CARBON FOOTPRINT (Cradle-to-Grave)</w:t>
            </w:r>
          </w:p>
        </w:tc>
        <w:tc>
          <w:tcPr/>
          <w:p>
            <w:pPr>
              <w:pStyle w:val="Compact"/>
              <w:jc w:val="left"/>
            </w:pPr>
            <w:r>
              <w:t xml:space="preserve">15.54*</w:t>
            </w:r>
          </w:p>
        </w:tc>
        <w:tc>
          <w:tcPr/>
          <w:p>
            <w:pPr>
              <w:pStyle w:val="Compact"/>
              <w:jc w:val="left"/>
            </w:pPr>
            <w:r>
              <w:t xml:space="preserve">100.00%</w:t>
            </w:r>
          </w:p>
        </w:tc>
      </w:tr>
    </w:tbl>
    <w:p>
      <w:pPr>
        <w:pStyle w:val="BodyText"/>
      </w:pPr>
      <w:r>
        <w:rPr>
          <w:iCs/>
          <w:i/>
        </w:rPr>
        <w:t xml:space="preserve">*Totals may vary slightly due to rounding. The precise sum is 15.5397 kg CO₂e.</w:t>
      </w:r>
    </w:p>
    <w:bookmarkEnd w:id="42"/>
    <w:bookmarkStart w:id="43" w:name="emissions-by-ghg-scope"/>
    <w:p>
      <w:pPr>
        <w:pStyle w:val="Heading3"/>
      </w:pPr>
      <w:r>
        <w:t xml:space="preserve">4.2 Emissions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CO₂e/unit)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0.37</w:t>
            </w:r>
          </w:p>
        </w:tc>
        <w:tc>
          <w:tcPr/>
          <w:p>
            <w:pPr>
              <w:pStyle w:val="Compact"/>
              <w:jc w:val="left"/>
            </w:pPr>
            <w:r>
              <w:t xml:space="preserve">2.38%</w:t>
            </w:r>
          </w:p>
        </w:tc>
      </w:tr>
      <w:tr>
        <w:tc>
          <w:tcPr/>
          <w:p>
            <w:pPr>
              <w:pStyle w:val="Compact"/>
              <w:jc w:val="left"/>
            </w:pPr>
            <w:r>
              <w:t xml:space="preserve">Scope 3 (Value Chain)</w:t>
            </w:r>
          </w:p>
        </w:tc>
        <w:tc>
          <w:tcPr/>
          <w:p>
            <w:pPr>
              <w:pStyle w:val="Compact"/>
              <w:jc w:val="left"/>
            </w:pPr>
            <w:r>
              <w:t xml:space="preserve">15.17</w:t>
            </w:r>
          </w:p>
        </w:tc>
        <w:tc>
          <w:tcPr/>
          <w:p>
            <w:pPr>
              <w:pStyle w:val="Compact"/>
              <w:jc w:val="left"/>
            </w:pPr>
            <w:r>
              <w:t xml:space="preserve">97.62%</w:t>
            </w:r>
          </w:p>
        </w:tc>
      </w:tr>
      <w:tr>
        <w:tc>
          <w:tcPr/>
          <w:p>
            <w:pPr>
              <w:pStyle w:val="Compact"/>
              <w:jc w:val="left"/>
            </w:pPr>
            <w:r>
              <w:t xml:space="preserve">TOTAL</w:t>
            </w:r>
          </w:p>
        </w:tc>
        <w:tc>
          <w:tcPr/>
          <w:p>
            <w:pPr>
              <w:pStyle w:val="Compact"/>
              <w:jc w:val="left"/>
            </w:pPr>
            <w:r>
              <w:t xml:space="preserve">15.54*</w:t>
            </w:r>
          </w:p>
        </w:tc>
        <w:tc>
          <w:tcPr/>
          <w:p>
            <w:pPr>
              <w:pStyle w:val="Compact"/>
              <w:jc w:val="left"/>
            </w:pPr>
            <w:r>
              <w:t xml:space="preserve">100.00%</w:t>
            </w:r>
          </w:p>
        </w:tc>
      </w:tr>
    </w:tbl>
    <w:p>
      <w:pPr>
        <w:pStyle w:val="BodyText"/>
      </w:pPr>
      <w:r>
        <w:rPr>
          <w:iCs/>
          <w:i/>
        </w:rPr>
        <w:t xml:space="preserve">*Totals may vary slightly due to rounding. The precise sum is 15.5397 kg CO₂e.</w:t>
      </w:r>
    </w:p>
    <w:bookmarkEnd w:id="43"/>
    <w:bookmarkStart w:id="44" w:name="hotspots-and-reliability"/>
    <w:p>
      <w:pPr>
        <w:pStyle w:val="Heading3"/>
      </w:pPr>
      <w:r>
        <w:t xml:space="preserve">4.3 Hotspots and Reliability</w:t>
      </w:r>
    </w:p>
    <w:p>
      <w:pPr>
        <w:numPr>
          <w:ilvl w:val="0"/>
          <w:numId w:val="1014"/>
        </w:numPr>
        <w:pStyle w:val="Compact"/>
      </w:pPr>
      <w:r>
        <w:t xml:space="preserve">The dominant hotspot for the Smart IoT Device\'s carbon footprint is the **Use Phase (61.56%)**, primarily due to the energy consumption over its 7-year lifespan. This highlights the importance of energy efficiency in product design and educating consumers on sustainable usage.</w:t>
      </w:r>
    </w:p>
    <w:p>
      <w:pPr>
        <w:numPr>
          <w:ilvl w:val="0"/>
          <w:numId w:val="1014"/>
        </w:numPr>
        <w:pStyle w:val="Compact"/>
      </w:pPr>
      <w:r>
        <w:t xml:space="preserve">**Material Acquisition &amp; Pre-processing (29.17%)** represents the second significant hotspot, driven by the energy-intensive production of components like Aluminum, PCBs, and Lithium-ion batteries. Further investigation into low-carbon material alternatives and supplier engagement for greener production is recommended.</w:t>
      </w:r>
    </w:p>
    <w:p>
      <w:pPr>
        <w:numPr>
          <w:ilvl w:val="0"/>
          <w:numId w:val="1014"/>
        </w:numPr>
        <w:pStyle w:val="Compact"/>
      </w:pPr>
      <w:r>
        <w:t xml:space="preserve">The **End-of-Life phase demonstrates a net carbon benefit (-5.85%)**, primarily due to the high recyclability (90%) and the "Active Product Reuse &amp; Recycling Initiative." This validates the effectiveness of circular economy strategies for this product.</w:t>
      </w:r>
    </w:p>
    <w:p>
      <w:pPr>
        <w:numPr>
          <w:ilvl w:val="0"/>
          <w:numId w:val="1014"/>
        </w:numPr>
        <w:pStyle w:val="Compact"/>
      </w:pPr>
      <w:r>
        <w:t xml:space="preserve">The reliability of this assessment is high due to the detailed BOM provided and the application of industry-standard emission factors. However, generic emission factors are used for transport, grid electricity, and EoL, which may introduce some uncertainty compared to highly specific, primary supplier data.</w:t>
      </w:r>
    </w:p>
    <w:p>
      <w:r>
        <w:pict>
          <v:rect style="width:0;height:1.5pt" o:hralign="center" o:hrstd="t" o:hr="t"/>
        </w:pict>
      </w:r>
    </w:p>
    <w:bookmarkEnd w:id="44"/>
    <w:bookmarkEnd w:id="45"/>
    <w:bookmarkStart w:id="46" w:name="recommendations-for-improvement"/>
    <w:p>
      <w:pPr>
        <w:pStyle w:val="Heading2"/>
      </w:pPr>
      <w:r>
        <w:t xml:space="preserve">5. Recommendations for Improvement</w:t>
      </w:r>
    </w:p>
    <w:p>
      <w:pPr>
        <w:numPr>
          <w:ilvl w:val="0"/>
          <w:numId w:val="1015"/>
        </w:numPr>
        <w:pStyle w:val="Compact"/>
      </w:pPr>
      <w:r>
        <w:rPr>
          <w:bCs/>
          <w:b/>
        </w:rPr>
        <w:t xml:space="preserve">Optimize Use Phase Energy Efficiency:</w:t>
      </w:r>
      <w:r>
        <w:t xml:space="preserve"> </w:t>
      </w:r>
      <w:r>
        <w:t xml:space="preserve">Focus on designing the Smart IoT Device to consume less power during operation or extend its lifespan further to amortize embodied emissions over a longer period. Investigate software updates or low-power modes.</w:t>
      </w:r>
    </w:p>
    <w:p>
      <w:pPr>
        <w:numPr>
          <w:ilvl w:val="0"/>
          <w:numId w:val="1015"/>
        </w:numPr>
        <w:pStyle w:val="Compact"/>
      </w:pPr>
      <w:r>
        <w:rPr>
          <w:bCs/>
          <w:b/>
        </w:rPr>
        <w:t xml:space="preserve">Sustainable Material Sourcing:</w:t>
      </w:r>
      <w:r>
        <w:t xml:space="preserve"> </w:t>
      </w:r>
      <w:r>
        <w:t xml:space="preserve">Collaborate with suppliers to identify and integrate lower-carbon alternatives for high-impact materials (e.g., recycled aluminum, bio-based plastics where feasible) while maintaining product performance. Engage in supply chain data collection to refine Scope 3, Category 1 emissions with primary data.</w:t>
      </w:r>
    </w:p>
    <w:p>
      <w:pPr>
        <w:numPr>
          <w:ilvl w:val="0"/>
          <w:numId w:val="1015"/>
        </w:numPr>
        <w:pStyle w:val="Compact"/>
      </w:pPr>
      <w:r>
        <w:rPr>
          <w:bCs/>
          <w:b/>
        </w:rPr>
        <w:t xml:space="preserve">Enhance Circularity:</w:t>
      </w:r>
      <w:r>
        <w:t xml:space="preserve"> </w:t>
      </w:r>
      <w:r>
        <w:t xml:space="preserve">Continue to invest in and promote the "Active Product Reuse &amp; Recycling Initiative." Explore opportunities for product refurbishment, repair, or component reuse to further extend product value and minimize waste.</w:t>
      </w:r>
    </w:p>
    <w:p>
      <w:pPr>
        <w:numPr>
          <w:ilvl w:val="0"/>
          <w:numId w:val="1015"/>
        </w:numPr>
        <w:pStyle w:val="Compact"/>
      </w:pPr>
      <w:r>
        <w:rPr>
          <w:bCs/>
          <w:b/>
        </w:rPr>
        <w:t xml:space="preserve">Logistics Optimization:</w:t>
      </w:r>
      <w:r>
        <w:t xml:space="preserve"> </w:t>
      </w:r>
      <w:r>
        <w:t xml:space="preserve">Evaluate inbound and outbound logistics for efficiency gains, such as optimizing routes, increasing load factors, and exploring lower-emission transport modes where practical (e.g., rail over road for longer distances within continents).</w:t>
      </w:r>
    </w:p>
    <w:p>
      <w:pPr>
        <w:numPr>
          <w:ilvl w:val="0"/>
          <w:numId w:val="1015"/>
        </w:numPr>
        <w:pStyle w:val="Compact"/>
      </w:pPr>
      <w:r>
        <w:rPr>
          <w:bCs/>
          <w:b/>
        </w:rPr>
        <w:t xml:space="preserve">Supplier Engagement (LSR Standard):</w:t>
      </w:r>
      <w:r>
        <w:t xml:space="preserve"> </w:t>
      </w:r>
      <w:r>
        <w:t xml:space="preserve">As the GHG Protocol LSR Standard becomes effective, engage with upstream suppliers, particularly those involved in material extraction or bio-based material production, to understand and quantify land-sector emissions and removals associated with their operations.</w:t>
      </w:r>
    </w:p>
    <w:p>
      <w:r>
        <w:pict>
          <v:rect style="width:0;height:1.5pt" o:hralign="center" o:hrstd="t" o:hr="t"/>
        </w:pict>
      </w:r>
    </w:p>
    <w:p>
      <w:pPr>
        <w:pStyle w:val="FirstParagraph"/>
      </w:pPr>
      <w:r>
        <w:t xml:space="preserve">Confidential - Internal Use Only | Page</w:t>
      </w:r>
      <w:r>
        <w:t xml:space="preserve"> </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Smart IoT Device</dc:title>
  <dc:creator/>
  <dc:description>High-detail Product Carbon Footprint (PCF) analysis for Smart IoT Device by Global Innovations Corp., adhering to GHG Protocol and 2026 LSR updates.</dc:description>
  <dc:language>en</dc:language>
  <cp:keywords/>
  <dcterms:created xsi:type="dcterms:W3CDTF">2026-07-15T04:49:54Z</dcterms:created>
  <dcterms:modified xsi:type="dcterms:W3CDTF">2026-07-15T04:49:54Z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