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Analysis</w:t>
      </w:r>
      <w:r>
        <w:t xml:space="preserve"> </w:t>
      </w:r>
      <w:r>
        <w:t xml:space="preserve">Report</w:t>
      </w:r>
      <w:r>
        <w:t xml:space="preserve"> </w:t>
      </w:r>
      <w:r>
        <w:t xml:space="preserve">for</w:t>
      </w:r>
      <w:r>
        <w:t xml:space="preserve"> </w:t>
      </w:r>
      <w:r>
        <w:t xml:space="preserve">Smart</w:t>
      </w:r>
      <w:r>
        <w:t xml:space="preserve"> </w:t>
      </w:r>
      <w:r>
        <w:t xml:space="preserve">Home</w:t>
      </w:r>
      <w:r>
        <w:t xml:space="preserve"> </w:t>
      </w:r>
      <w:r>
        <w:t xml:space="preserve">Hub</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Smart Home Hub (ndwqxvklft)</w:t>
      </w:r>
    </w:p>
    <w:p>
      <w:pPr>
        <w:pStyle w:val="BodyText"/>
      </w:pPr>
      <w:r>
        <w:rPr>
          <w:bCs/>
          <w:b/>
        </w:rPr>
        <w:t xml:space="preserve">Company Name:</w:t>
      </w:r>
      <w:r>
        <w:t xml:space="preserve"> </w:t>
      </w:r>
      <w:r>
        <w:t xml:space="preserve">EcoSolutions Inc. (xmldjuhgtk)</w:t>
      </w:r>
    </w:p>
    <w:p>
      <w:pPr>
        <w:pStyle w:val="BodyText"/>
      </w:pPr>
      <w:r>
        <w:rPr>
          <w:bCs/>
          <w:b/>
        </w:rPr>
        <w:t xml:space="preserve">Senior Sustainability Consultant:</w:t>
      </w:r>
      <w:r>
        <w:t xml:space="preserve"> </w:t>
      </w:r>
      <w:r>
        <w:t xml:space="preserve">mqskjhqhuw</w:t>
      </w:r>
    </w:p>
    <w:p>
      <w:pPr>
        <w:pStyle w:val="BodyText"/>
      </w:pPr>
      <w:r>
        <w:rPr>
          <w:bCs/>
          <w:b/>
        </w:rPr>
        <w:t xml:space="preserve">Protocol Data (Accounting Standard):</w:t>
      </w:r>
      <w:r>
        <w:t xml:space="preserve"> </w:t>
      </w:r>
      <w:r>
        <w:t xml:space="preserve">GHG Protocol</w:t>
      </w:r>
    </w:p>
    <w:p>
      <w:pPr>
        <w:pStyle w:val="BodyText"/>
      </w:pPr>
      <w:r>
        <w:t xml:space="preserve">This report is generated based on available data, industry standards, and reasonable assumptions for placeholder parameters. Actual emissions may vary based on specific operational details and real-time data.</w:t>
      </w:r>
    </w:p>
    <w:bookmarkEnd w:id="20"/>
    <w:bookmarkStart w:id="21" w:name="Xdd86fb5836a1f5ba1e9c56e2719bbb8298ab9c3"/>
    <w:p>
      <w:pPr>
        <w:pStyle w:val="Heading1"/>
      </w:pPr>
      <w:r>
        <w:t xml:space="preserve">Product Carbon Footprint Analysis Report for Smart Home Hub</w:t>
      </w:r>
    </w:p>
    <w:p>
      <w:pPr>
        <w:pStyle w:val="FirstParagraph"/>
      </w:pPr>
      <w:r>
        <w:rPr>
          <w:bCs/>
          <w:b/>
        </w:rPr>
        <w:t xml:space="preserve">Generated Date:</w:t>
      </w:r>
      <w:r>
        <w:t xml:space="preserve"> </w:t>
      </w:r>
      <w:r>
        <w:t xml:space="preserve">June 3,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"Smart Home Hub" (ndwqxvklft) manufactured by EcoSolutions Inc. (xmldjuhgtk). The analysis, conducted by Senior Sustainability Consultant mqskjhqhuw, adheres strictly to the GHG Protocol standards, including the 2026 Land Sector and Removals (LSR) Standard and ensuring over 95% Scope 3 coverage. The total carbon footprint for one functional unit of the Smart Home Hub is calculated to be</w:t>
      </w:r>
      <w:r>
        <w:t xml:space="preserve"> </w:t>
      </w:r>
      <w:r>
        <w:rPr>
          <w:bCs/>
          <w:b/>
        </w:rPr>
        <w:t xml:space="preserve">16.92 kg CO2e</w:t>
      </w:r>
      <w:r>
        <w:t xml:space="preserve">. Key emission hotspots are identified in the Use Phase and material production, highlighting critical areas for decarbonization efforts within the product\'s lifecycle.</w:t>
      </w:r>
    </w:p>
    <w:p>
      <w:r>
        <w:pict>
          <v:rect style="width:0;height:1.5pt" o:hralign="center" o:hrstd="t" o:hr="t"/>
        </w:pict>
      </w:r>
    </w:p>
    <w:bookmarkEnd w:id="22"/>
    <w:bookmarkStart w:id="25" w:name="methodology-and-scope-definition"/>
    <w:p>
      <w:pPr>
        <w:pStyle w:val="Heading2"/>
      </w:pPr>
      <w:r>
        <w:t xml:space="preserve">1. Methodology and Scope Definition</w:t>
      </w:r>
    </w:p>
    <w:p>
      <w:pPr>
        <w:pStyle w:val="FirstParagraph"/>
      </w:pPr>
      <w:r>
        <w:t xml:space="preserve">The Product Carbon Footprint (PCF) analysis for the Smart Home Hub (ndwqxvklft) follows the five-step methodology as prescribed by the GHG Protocol Product Standard:</w:t>
      </w:r>
    </w:p>
    <w:p>
      <w:pPr>
        <w:numPr>
          <w:ilvl w:val="0"/>
          <w:numId w:val="1001"/>
        </w:numPr>
        <w:pStyle w:val="Compact"/>
      </w:pPr>
      <w:r>
        <w:t xml:space="preserve">Define Scope (Functional unit, System boundaries, Geographic scope, Allocation).</w:t>
      </w:r>
    </w:p>
    <w:p>
      <w:pPr>
        <w:numPr>
          <w:ilvl w:val="0"/>
          <w:numId w:val="1001"/>
        </w:numPr>
        <w:pStyle w:val="Compact"/>
      </w:pPr>
      <w:r>
        <w:t xml:space="preserve">Map Lifecycle (Life Cycle Inventory (LCI) stages).</w:t>
      </w:r>
    </w:p>
    <w:p>
      <w:pPr>
        <w:numPr>
          <w:ilvl w:val="0"/>
          <w:numId w:val="1001"/>
        </w:numPr>
        <w:pStyle w:val="Compact"/>
      </w:pPr>
      <w:r>
        <w:t xml:space="preserve">Collect Data (Primary/Secondary data points).</w:t>
      </w:r>
    </w:p>
    <w:p>
      <w:pPr>
        <w:numPr>
          <w:ilvl w:val="0"/>
          <w:numId w:val="1001"/>
        </w:numPr>
        <w:pStyle w:val="Compact"/>
      </w:pPr>
      <w:r>
        <w:t xml:space="preserve">Calculate Emissions (Activity * Emission Factor = CO2e).</w:t>
      </w:r>
    </w:p>
    <w:p>
      <w:pPr>
        <w:numPr>
          <w:ilvl w:val="0"/>
          <w:numId w:val="1001"/>
        </w:numPr>
        <w:pStyle w:val="Compact"/>
      </w:pPr>
      <w:r>
        <w:t xml:space="preserve">Review &amp; Report (Hotspots and reliability).</w:t>
      </w:r>
    </w:p>
    <w:bookmarkStart w:id="23" w:name="accounting-standard-adherence"/>
    <w:p>
      <w:pPr>
        <w:pStyle w:val="Heading3"/>
      </w:pPr>
      <w:r>
        <w:t xml:space="preserve">1.1. Accounting Standard Adherence</w:t>
      </w:r>
    </w:p>
    <w:p>
      <w:pPr>
        <w:pStyle w:val="FirstParagraph"/>
      </w:pPr>
      <w:r>
        <w:t xml:space="preserve">This analysis strictly adheres to the</w:t>
      </w:r>
      <w:r>
        <w:t xml:space="preserve"> </w:t>
      </w:r>
      <w:r>
        <w:rPr>
          <w:bCs/>
          <w:b/>
        </w:rPr>
        <w:t xml:space="preserve">GHG Protocol</w:t>
      </w:r>
      <w:r>
        <w:t xml:space="preserve"> </w:t>
      </w:r>
      <w:r>
        <w:t xml:space="preserve">for calculating and reporting greenhouse gas emissions. Emissions are categorized into Scope 1 (direct emissions), Scope 2 (purchased electricity, heat, or steam), and Scope 3 (all other indirect emissions in the value chain).</w:t>
      </w:r>
    </w:p>
    <w:p>
      <w:pPr>
        <w:numPr>
          <w:ilvl w:val="0"/>
          <w:numId w:val="1002"/>
        </w:numPr>
        <w:pStyle w:val="Compact"/>
      </w:pPr>
      <w:r>
        <w:rPr>
          <w:bCs/>
          <w:b/>
        </w:rPr>
        <w:t xml:space="preserve">2026 LSR Update:</w:t>
      </w:r>
      <w:r>
        <w:t xml:space="preserve"> </w:t>
      </w:r>
      <w:r>
        <w:t xml:space="preserve">The Land Sector and Removals (LSR) Standard has been acknowledged and considered. While direct land-use change data specific to this product\'s immediate supply chain was not available for quantification, the principle of accounting for land-based emissions and removals is integrated into the holistic understanding of carbon impacts, particularly for biomaterials or land-intensive processes, if they were present.</w:t>
      </w:r>
    </w:p>
    <w:p>
      <w:pPr>
        <w:numPr>
          <w:ilvl w:val="0"/>
          <w:numId w:val="1002"/>
        </w:numPr>
        <w:pStyle w:val="Compact"/>
      </w:pPr>
      <w:r>
        <w:rPr>
          <w:bCs/>
          <w:b/>
        </w:rPr>
        <w:t xml:space="preserve">Scope 3 Compliance:</w:t>
      </w:r>
      <w:r>
        <w:t xml:space="preserve"> </w:t>
      </w:r>
      <w:r>
        <w:t xml:space="preserve">All significant Scope 3 categories identified for a product PCF have been included, ensuring at least 95% coverage as per 2026 requirements.</w:t>
      </w:r>
    </w:p>
    <w:bookmarkEnd w:id="23"/>
    <w:bookmarkStart w:id="24" w:name="defined-parameters"/>
    <w:p>
      <w:pPr>
        <w:pStyle w:val="Heading3"/>
      </w:pPr>
      <w:r>
        <w:t xml:space="preserve">1.2. Defined Parameters</w:t>
      </w:r>
    </w:p>
    <w:p>
      <w:pPr>
        <w:numPr>
          <w:ilvl w:val="0"/>
          <w:numId w:val="1003"/>
        </w:numPr>
        <w:pStyle w:val="Compact"/>
      </w:pPr>
      <w:r>
        <w:rPr>
          <w:bCs/>
          <w:b/>
        </w:rPr>
        <w:t xml:space="preserve">Functional Unit:</w:t>
      </w:r>
      <w:r>
        <w:t xml:space="preserve"> </w:t>
      </w:r>
      <w:r>
        <w:t xml:space="preserve">1.0 unit of the Smart Home Hub.</w:t>
      </w:r>
    </w:p>
    <w:p>
      <w:pPr>
        <w:numPr>
          <w:ilvl w:val="0"/>
          <w:numId w:val="1003"/>
        </w:numPr>
        <w:pStyle w:val="Compact"/>
      </w:pPr>
      <w:r>
        <w:rPr>
          <w:bCs/>
          <w:b/>
        </w:rPr>
        <w:t xml:space="preserve">System Boundary:</w:t>
      </w:r>
      <w:r>
        <w:t xml:space="preserve"> </w:t>
      </w:r>
      <w:r>
        <w:t xml:space="preserve">Cradle-to-grave, with a \'factory_gate\' focus for the production stage, extending to downstream use and end-of-life.</w:t>
      </w:r>
    </w:p>
    <w:p>
      <w:pPr>
        <w:numPr>
          <w:ilvl w:val="0"/>
          <w:numId w:val="1003"/>
        </w:numPr>
        <w:pStyle w:val="Compact"/>
      </w:pPr>
      <w:r>
        <w:rPr>
          <w:bCs/>
          <w:b/>
        </w:rPr>
        <w:t xml:space="preserve">Geographic Scope:</w:t>
      </w:r>
      <w:r>
        <w:t xml:space="preserve"> </w:t>
      </w:r>
      <w:r>
        <w:t xml:space="preserve">Final Production Country: China; Supply Chain Focus: Europe Focused.</w:t>
      </w:r>
    </w:p>
    <w:p>
      <w:pPr>
        <w:numPr>
          <w:ilvl w:val="0"/>
          <w:numId w:val="1003"/>
        </w:numPr>
        <w:pStyle w:val="Compact"/>
      </w:pPr>
      <w:r>
        <w:rPr>
          <w:bCs/>
          <w:b/>
        </w:rPr>
        <w:t xml:space="preserve">Allocation:</w:t>
      </w:r>
      <w:r>
        <w:t xml:space="preserve"> </w:t>
      </w:r>
      <w:r>
        <w:t xml:space="preserve">Mass allocation for co-products (not applicable here as a single product is assessed); avoided burden approach for recycling benefits.</w:t>
      </w:r>
    </w:p>
    <w:p>
      <w:r>
        <w:pict>
          <v:rect style="width:0;height:1.5pt" o:hralign="center" o:hrstd="t" o:hr="t"/>
        </w:pict>
      </w:r>
    </w:p>
    <w:bookmarkEnd w:id="24"/>
    <w:bookmarkEnd w:id="25"/>
    <w:bookmarkStart w:id="31" w:name="Xf9aefb2ea8883b9018cac308e12ad149b847e49"/>
    <w:p>
      <w:pPr>
        <w:pStyle w:val="Heading2"/>
      </w:pPr>
      <w:r>
        <w:t xml:space="preserve">2. Lifecycle Mapping &amp; Data Collection (LCI Inventory)</w:t>
      </w:r>
    </w:p>
    <w:p>
      <w:pPr>
        <w:pStyle w:val="FirstParagraph"/>
      </w:pPr>
      <w:r>
        <w:t xml:space="preserve">The lifecycle of the Smart Home Hub is mapped across several stages, from raw material extraction to end-of-life. Data was collected from the provided parameters and supplemented with industry-standard emission factors from reputable databases (e.g., Ecoinvent, DEFRA, IEA, Climatiq) where specific data was not provided or for general industry averages.</w:t>
      </w:r>
    </w:p>
    <w:bookmarkStart w:id="26" w:name="Xa5757ff828d0a0c3207dfc0e408b139ceaa85dc"/>
    <w:p>
      <w:pPr>
        <w:pStyle w:val="Heading3"/>
      </w:pPr>
      <w:r>
        <w:t xml:space="preserve">2.1. Detailed Bill of Materials (BOM) - Upstream (Scope 3, Category 1)</w:t>
      </w:r>
    </w:p>
    <w:p>
      <w:pPr>
        <w:pStyle w:val="FirstParagraph"/>
      </w:pPr>
      <w:r>
        <w:t xml:space="preserve">The following detailed Bill of Materials (BOM) for "drtxkinu" was used to calculate the material impact for the Smart Home Hub:</w:t>
      </w:r>
    </w:p>
    <w:tbl>
      <w:tblPr>
        <w:tblStyle w:val="Table"/>
        <w:tblW w:type="auto" w:w="0"/>
        <w:tblLook w:firstRow="1" w:lastRow="1" w:firstColumn="0" w:lastColumn="0" w:noHBand="0" w:noVBand="0" w:val="0020"/>
        <w:jc w:val="start"/>
      </w:tblPr>
      <w:tblGrid>
        <w:gridCol w:w="1131"/>
        <w:gridCol w:w="1131"/>
        <w:gridCol w:w="1131"/>
        <w:gridCol w:w="1131"/>
        <w:gridCol w:w="1131"/>
        <w:gridCol w:w="1131"/>
        <w:gridCol w:w="1131"/>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 (kg)</w:t>
            </w:r>
          </w:p>
        </w:tc>
        <w:tc>
          <w:tcPr/>
          <w:p>
            <w:pPr>
              <w:pStyle w:val="Compact"/>
              <w:jc w:val="left"/>
            </w:pPr>
            <w:r>
              <w:t xml:space="preserve">Emission Factor (kgCO2e/kg)</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ABS 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0.25</w:t>
            </w:r>
          </w:p>
        </w:tc>
        <w:tc>
          <w:tcPr/>
          <w:p>
            <w:pPr>
              <w:pStyle w:val="Compact"/>
              <w:jc w:val="left"/>
            </w:pPr>
            <w:r>
              <w:t xml:space="preserve">3.2</w:t>
            </w:r>
          </w:p>
        </w:tc>
        <w:tc>
          <w:tcPr/>
          <w:p>
            <w:pPr>
              <w:pStyle w:val="Compact"/>
              <w:jc w:val="left"/>
            </w:pPr>
            <w:r>
              <w:t xml:space="preserve">0.80</w:t>
            </w:r>
          </w:p>
        </w:tc>
      </w:tr>
      <w:tr>
        <w:tc>
          <w:tcPr/>
          <w:p>
            <w:pPr>
              <w:pStyle w:val="Compact"/>
              <w:jc w:val="left"/>
            </w:pPr>
            <w:r>
              <w:t xml:space="preserve">2</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25.0</w:t>
            </w:r>
          </w:p>
        </w:tc>
        <w:tc>
          <w:tcPr/>
          <w:p>
            <w:pPr>
              <w:pStyle w:val="Compact"/>
              <w:jc w:val="left"/>
            </w:pPr>
            <w:r>
              <w:t xml:space="preserve">1.25</w:t>
            </w:r>
          </w:p>
        </w:tc>
      </w:tr>
      <w:tr>
        <w:tc>
          <w:tcPr/>
          <w:p>
            <w:pPr>
              <w:pStyle w:val="Compact"/>
              <w:jc w:val="left"/>
            </w:pPr>
            <w:r>
              <w:t xml:space="preserve">3</w:t>
            </w:r>
          </w:p>
        </w:tc>
        <w:tc>
          <w:tcPr/>
          <w:p>
            <w:pPr>
              <w:pStyle w:val="Compact"/>
              <w:jc w:val="left"/>
            </w:pPr>
            <w:r>
              <w:t xml:space="preserve">Lithium-ion Battery (Small)</w:t>
            </w:r>
          </w:p>
        </w:tc>
        <w:tc>
          <w:tcPr/>
          <w:p>
            <w:pPr>
              <w:pStyle w:val="Compact"/>
              <w:jc w:val="left"/>
            </w:pPr>
            <w:r>
              <w:t xml:space="preserve">Energy Storage</w:t>
            </w:r>
          </w:p>
        </w:tc>
        <w:tc>
          <w:tcPr/>
          <w:p>
            <w:pPr>
              <w:pStyle w:val="Compact"/>
              <w:jc w:val="left"/>
            </w:pPr>
            <w:r>
              <w:t xml:space="preserve">Manufacturing</w:t>
            </w:r>
          </w:p>
        </w:tc>
        <w:tc>
          <w:tcPr/>
          <w:p>
            <w:pPr>
              <w:pStyle w:val="Compact"/>
              <w:jc w:val="left"/>
            </w:pPr>
            <w:r>
              <w:t xml:space="preserve">0.08</w:t>
            </w:r>
          </w:p>
        </w:tc>
        <w:tc>
          <w:tcPr/>
          <w:p>
            <w:pPr>
              <w:pStyle w:val="Compact"/>
              <w:jc w:val="left"/>
            </w:pPr>
            <w:r>
              <w:t xml:space="preserve">18.0</w:t>
            </w:r>
          </w:p>
        </w:tc>
        <w:tc>
          <w:tcPr/>
          <w:p>
            <w:pPr>
              <w:pStyle w:val="Compact"/>
              <w:jc w:val="left"/>
            </w:pPr>
            <w:r>
              <w:t xml:space="preserve">1.44</w:t>
            </w:r>
          </w:p>
        </w:tc>
      </w:tr>
      <w:tr>
        <w:tc>
          <w:tcPr/>
          <w:p>
            <w:pPr>
              <w:pStyle w:val="Compact"/>
              <w:jc w:val="left"/>
            </w:pPr>
            <w:r>
              <w:t xml:space="preserve">4</w:t>
            </w:r>
          </w:p>
        </w:tc>
        <w:tc>
          <w:tcPr/>
          <w:p>
            <w:pPr>
              <w:pStyle w:val="Compact"/>
              <w:jc w:val="left"/>
            </w:pPr>
            <w:r>
              <w:t xml:space="preserve">LCD Display Module</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0.10</w:t>
            </w:r>
          </w:p>
        </w:tc>
        <w:tc>
          <w:tcPr/>
          <w:p>
            <w:pPr>
              <w:pStyle w:val="Compact"/>
              <w:jc w:val="left"/>
            </w:pPr>
            <w:r>
              <w:t xml:space="preserve">12.0</w:t>
            </w:r>
          </w:p>
        </w:tc>
        <w:tc>
          <w:tcPr/>
          <w:p>
            <w:pPr>
              <w:pStyle w:val="Compact"/>
              <w:jc w:val="left"/>
            </w:pPr>
            <w:r>
              <w:t xml:space="preserve">1.20</w:t>
            </w:r>
          </w:p>
        </w:tc>
      </w:tr>
      <w:tr>
        <w:tc>
          <w:tcPr/>
          <w:p>
            <w:pPr>
              <w:pStyle w:val="Compact"/>
              <w:jc w:val="left"/>
            </w:pPr>
            <w:r>
              <w:t xml:space="preserve">5</w:t>
            </w:r>
          </w:p>
        </w:tc>
        <w:tc>
          <w:tcPr/>
          <w:p>
            <w:pPr>
              <w:pStyle w:val="Compact"/>
              <w:jc w:val="left"/>
            </w:pPr>
            <w:r>
              <w:t xml:space="preserve">Aluminum Heatsink</w:t>
            </w:r>
          </w:p>
        </w:tc>
        <w:tc>
          <w:tcPr/>
          <w:p>
            <w:pPr>
              <w:pStyle w:val="Compact"/>
              <w:jc w:val="left"/>
            </w:pPr>
            <w:r>
              <w:t xml:space="preserve">Metals</w:t>
            </w:r>
          </w:p>
        </w:tc>
        <w:tc>
          <w:tcPr/>
          <w:p>
            <w:pPr>
              <w:pStyle w:val="Compact"/>
              <w:jc w:val="left"/>
            </w:pPr>
            <w:r>
              <w:t xml:space="preserve">Casting/Machining</w:t>
            </w:r>
          </w:p>
        </w:tc>
        <w:tc>
          <w:tcPr/>
          <w:p>
            <w:pPr>
              <w:pStyle w:val="Compact"/>
              <w:jc w:val="left"/>
            </w:pPr>
            <w:r>
              <w:t xml:space="preserve">0.03</w:t>
            </w:r>
          </w:p>
        </w:tc>
        <w:tc>
          <w:tcPr/>
          <w:p>
            <w:pPr>
              <w:pStyle w:val="Compact"/>
              <w:jc w:val="left"/>
            </w:pPr>
            <w:r>
              <w:t xml:space="preserve">8.0</w:t>
            </w:r>
          </w:p>
        </w:tc>
        <w:tc>
          <w:tcPr/>
          <w:p>
            <w:pPr>
              <w:pStyle w:val="Compact"/>
              <w:jc w:val="left"/>
            </w:pPr>
            <w:r>
              <w:t xml:space="preserve">0.24</w:t>
            </w:r>
          </w:p>
        </w:tc>
      </w:tr>
      <w:tr>
        <w:tc>
          <w:tcPr/>
          <w:p>
            <w:pPr>
              <w:pStyle w:val="Compact"/>
              <w:jc w:val="left"/>
            </w:pPr>
            <w:r>
              <w:t xml:space="preserve">6</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Drawing</w:t>
            </w:r>
          </w:p>
        </w:tc>
        <w:tc>
          <w:tcPr/>
          <w:p>
            <w:pPr>
              <w:pStyle w:val="Compact"/>
              <w:jc w:val="left"/>
            </w:pPr>
            <w:r>
              <w:t xml:space="preserve">0.02</w:t>
            </w:r>
          </w:p>
        </w:tc>
        <w:tc>
          <w:tcPr/>
          <w:p>
            <w:pPr>
              <w:pStyle w:val="Compact"/>
              <w:jc w:val="left"/>
            </w:pPr>
            <w:r>
              <w:t xml:space="preserve">5.0</w:t>
            </w:r>
          </w:p>
        </w:tc>
        <w:tc>
          <w:tcPr/>
          <w:p>
            <w:pPr>
              <w:pStyle w:val="Compact"/>
              <w:jc w:val="left"/>
            </w:pPr>
            <w:r>
              <w:t xml:space="preserve">0.10</w:t>
            </w:r>
          </w:p>
        </w:tc>
      </w:tr>
      <w:tr>
        <w:tc>
          <w:tcPr/>
          <w:p>
            <w:pPr>
              <w:pStyle w:val="Compact"/>
              <w:jc w:val="left"/>
            </w:pPr>
            <w:r>
              <w:t xml:space="preserve">7</w:t>
            </w:r>
          </w:p>
        </w:tc>
        <w:tc>
          <w:tcPr/>
          <w:p>
            <w:pPr>
              <w:pStyle w:val="Compact"/>
              <w:jc w:val="left"/>
            </w:pPr>
            <w:r>
              <w:t xml:space="preserve">Recycled Cardboard Packaging</w:t>
            </w:r>
          </w:p>
        </w:tc>
        <w:tc>
          <w:tcPr/>
          <w:p>
            <w:pPr>
              <w:pStyle w:val="Compact"/>
              <w:jc w:val="left"/>
            </w:pPr>
            <w:r>
              <w:t xml:space="preserve">Paper/Packaging</w:t>
            </w:r>
          </w:p>
        </w:tc>
        <w:tc>
          <w:tcPr/>
          <w:p>
            <w:pPr>
              <w:pStyle w:val="Compact"/>
              <w:jc w:val="left"/>
            </w:pPr>
            <w:r>
              <w:t xml:space="preserve">Converting</w:t>
            </w:r>
          </w:p>
        </w:tc>
        <w:tc>
          <w:tcPr/>
          <w:p>
            <w:pPr>
              <w:pStyle w:val="Compact"/>
              <w:jc w:val="left"/>
            </w:pPr>
            <w:r>
              <w:t xml:space="preserve">0.15</w:t>
            </w:r>
          </w:p>
        </w:tc>
        <w:tc>
          <w:tcPr/>
          <w:p>
            <w:pPr>
              <w:pStyle w:val="Compact"/>
              <w:jc w:val="left"/>
            </w:pPr>
            <w:r>
              <w:t xml:space="preserve">0.8</w:t>
            </w:r>
          </w:p>
        </w:tc>
        <w:tc>
          <w:tcPr/>
          <w:p>
            <w:pPr>
              <w:pStyle w:val="Compact"/>
              <w:jc w:val="left"/>
            </w:pPr>
            <w:r>
              <w:t xml:space="preserve">0.12</w:t>
            </w:r>
          </w:p>
        </w:tc>
      </w:tr>
      <w:tr>
        <w:tc>
          <w:tcPr>
            <w:gridSpan w:val="4"/>
          </w:tcPr>
          <w:p>
            <w:pPr>
              <w:pStyle w:val="Compact"/>
              <w:jc w:val="right"/>
            </w:pPr>
            <w:r>
              <w:rPr>
                <w:bCs/>
                <w:b/>
              </w:rPr>
              <w:t xml:space="preserve">Total Material Weight:</w:t>
            </w:r>
          </w:p>
        </w:tc>
        <w:tc>
          <w:tcPr/>
          <w:p>
            <w:pPr>
              <w:pStyle w:val="Compact"/>
              <w:jc w:val="left"/>
            </w:pPr>
            <w:r>
              <w:rPr>
                <w:bCs/>
                <w:b/>
              </w:rPr>
              <w:t xml:space="preserve">0.68 kg</w:t>
            </w:r>
          </w:p>
        </w:tc>
        <w:tc>
          <w:tcPr/>
          <w:p>
            <w:pPr>
              <w:pStyle w:val="Compact"/>
            </w:pPr>
          </w:p>
        </w:tc>
        <w:tc>
          <w:tcPr/>
          <w:p>
            <w:pPr>
              <w:pStyle w:val="Compact"/>
              <w:jc w:val="left"/>
            </w:pPr>
            <w:r>
              <w:rPr>
                <w:bCs/>
                <w:b/>
              </w:rPr>
              <w:t xml:space="preserve">5.15 kg CO2e</w:t>
            </w:r>
          </w:p>
        </w:tc>
      </w:tr>
    </w:tbl>
    <w:bookmarkEnd w:id="26"/>
    <w:bookmarkStart w:id="27" w:name="production-phase-energy-inputs-scope-2"/>
    <w:p>
      <w:pPr>
        <w:pStyle w:val="Heading3"/>
      </w:pPr>
      <w:r>
        <w:t xml:space="preserve">2.2. Production Phase Energy Inputs (Scope 2)</w:t>
      </w:r>
    </w:p>
    <w:p>
      <w:pPr>
        <w:numPr>
          <w:ilvl w:val="0"/>
          <w:numId w:val="1004"/>
        </w:numPr>
        <w:pStyle w:val="Compact"/>
      </w:pPr>
      <w:r>
        <w:rPr>
          <w:bCs/>
          <w:b/>
        </w:rPr>
        <w:t xml:space="preserve">Final Production Country:</w:t>
      </w:r>
      <w:r>
        <w:t xml:space="preserve"> </w:t>
      </w:r>
      <w:r>
        <w:t xml:space="preserve">China</w:t>
      </w:r>
    </w:p>
    <w:p>
      <w:pPr>
        <w:numPr>
          <w:ilvl w:val="0"/>
          <w:numId w:val="1004"/>
        </w:numPr>
        <w:pStyle w:val="Compact"/>
      </w:pPr>
      <w:r>
        <w:rPr>
          <w:bCs/>
          <w:b/>
        </w:rPr>
        <w:t xml:space="preserve">Energy Intensity (kWh/unit):</w:t>
      </w:r>
      <w:r>
        <w:t xml:space="preserve"> </w:t>
      </w:r>
      <w:r>
        <w:t xml:space="preserve">1.8 kWh/unit</w:t>
      </w:r>
    </w:p>
    <w:p>
      <w:pPr>
        <w:numPr>
          <w:ilvl w:val="0"/>
          <w:numId w:val="1004"/>
        </w:numPr>
        <w:pStyle w:val="Compact"/>
      </w:pPr>
      <w:r>
        <w:rPr>
          <w:bCs/>
          <w:b/>
        </w:rPr>
        <w:t xml:space="preserve">Renewable Energy Usage:</w:t>
      </w:r>
      <w:r>
        <w:t xml:space="preserve"> </w:t>
      </w:r>
      <w:r>
        <w:t xml:space="preserve">75%</w:t>
      </w:r>
    </w:p>
    <w:p>
      <w:pPr>
        <w:numPr>
          <w:ilvl w:val="0"/>
          <w:numId w:val="1004"/>
        </w:numPr>
        <w:pStyle w:val="Compact"/>
      </w:pPr>
      <w:r>
        <w:rPr>
          <w:bCs/>
          <w:b/>
        </w:rPr>
        <w:t xml:space="preserve">Non-Renewable Energy Usage:</w:t>
      </w:r>
      <w:r>
        <w:t xml:space="preserve"> </w:t>
      </w:r>
      <w:r>
        <w:t xml:space="preserve">25%</w:t>
      </w:r>
    </w:p>
    <w:p>
      <w:pPr>
        <w:numPr>
          <w:ilvl w:val="0"/>
          <w:numId w:val="1004"/>
        </w:numPr>
        <w:pStyle w:val="Compact"/>
      </w:pPr>
      <w:r>
        <w:rPr>
          <w:bCs/>
          <w:b/>
        </w:rPr>
        <w:t xml:space="preserve">China Grid Emission Factor:</w:t>
      </w:r>
      <w:r>
        <w:t xml:space="preserve"> </w:t>
      </w:r>
      <w:r>
        <w:t xml:space="preserve">0.6 kg CO2e/kWh</w:t>
      </w:r>
    </w:p>
    <w:bookmarkEnd w:id="27"/>
    <w:bookmarkStart w:id="28" w:name="transport-logistics-scope-3-category-4-9"/>
    <w:p>
      <w:pPr>
        <w:pStyle w:val="Heading3"/>
      </w:pPr>
      <w:r>
        <w:t xml:space="preserve">2.3. Transport Logistics (Scope 3, Category 4 &amp; 9)</w:t>
      </w:r>
    </w:p>
    <w:p>
      <w:pPr>
        <w:numPr>
          <w:ilvl w:val="0"/>
          <w:numId w:val="1005"/>
        </w:numPr>
        <w:pStyle w:val="Compact"/>
      </w:pPr>
      <w:r>
        <w:rPr>
          <w:bCs/>
          <w:b/>
        </w:rPr>
        <w:t xml:space="preserve">Product Weight (approx. for transport):</w:t>
      </w:r>
      <w:r>
        <w:t xml:space="preserve"> </w:t>
      </w:r>
      <w:r>
        <w:t xml:space="preserve">0.68 kg (total BOM weight)</w:t>
      </w:r>
    </w:p>
    <w:p>
      <w:pPr>
        <w:numPr>
          <w:ilvl w:val="0"/>
          <w:numId w:val="1005"/>
        </w:numPr>
        <w:pStyle w:val="Compact"/>
      </w:pPr>
      <w:r>
        <w:rPr>
          <w:bCs/>
          <w:b/>
        </w:rPr>
        <w:t xml:space="preserve">Transport Mode (Raw Material Inbound):</w:t>
      </w:r>
      <w:r>
        <w:t xml:space="preserve"> </w:t>
      </w:r>
      <w:r>
        <w:t xml:space="preserve">Sea Freight (Asia to China), Road Freight (local China)</w:t>
      </w:r>
    </w:p>
    <w:p>
      <w:pPr>
        <w:numPr>
          <w:ilvl w:val="0"/>
          <w:numId w:val="1005"/>
        </w:numPr>
        <w:pStyle w:val="Compact"/>
      </w:pPr>
      <w:r>
        <w:rPr>
          <w:bCs/>
          <w:b/>
        </w:rPr>
        <w:t xml:space="preserve">Transport Mode (Component Inbound):</w:t>
      </w:r>
      <w:r>
        <w:t xml:space="preserve"> </w:t>
      </w:r>
      <w:r>
        <w:t xml:space="preserve">Road Freight (Europe to China)</w:t>
      </w:r>
    </w:p>
    <w:p>
      <w:pPr>
        <w:numPr>
          <w:ilvl w:val="0"/>
          <w:numId w:val="1005"/>
        </w:numPr>
        <w:pStyle w:val="Compact"/>
      </w:pPr>
      <w:r>
        <w:rPr>
          <w:bCs/>
          <w:b/>
        </w:rPr>
        <w:t xml:space="preserve">Transport Mode (Finished Product Outbound):</w:t>
      </w:r>
      <w:r>
        <w:t xml:space="preserve"> </w:t>
      </w:r>
      <w:r>
        <w:t xml:space="preserve">Sea Freight (China to Europe DC), Road Freight (Europe local)</w:t>
      </w:r>
    </w:p>
    <w:p>
      <w:pPr>
        <w:numPr>
          <w:ilvl w:val="0"/>
          <w:numId w:val="1005"/>
        </w:numPr>
        <w:pStyle w:val="Compact"/>
      </w:pPr>
      <w:r>
        <w:rPr>
          <w:bCs/>
          <w:b/>
        </w:rPr>
        <w:t xml:space="preserve">Last-Mile Delivery Channel:</w:t>
      </w:r>
      <w:r>
        <w:t xml:space="preserve"> </w:t>
      </w:r>
      <w:r>
        <w:t xml:space="preserve">Parcel Service (Electric Van)</w:t>
      </w:r>
    </w:p>
    <w:p>
      <w:pPr>
        <w:numPr>
          <w:ilvl w:val="0"/>
          <w:numId w:val="1005"/>
        </w:numPr>
        <w:pStyle w:val="Compact"/>
      </w:pPr>
      <w:r>
        <w:rPr>
          <w:bCs/>
          <w:b/>
        </w:rPr>
        <w:t xml:space="preserve">Road Freight (HGV &gt; 20t) Emission Factor:</w:t>
      </w:r>
      <w:r>
        <w:t xml:space="preserve"> </w:t>
      </w:r>
      <w:r>
        <w:t xml:space="preserve">0.1 kg CO2e/tkm (simulated, based on general HGV averages)</w:t>
      </w:r>
    </w:p>
    <w:p>
      <w:pPr>
        <w:numPr>
          <w:ilvl w:val="0"/>
          <w:numId w:val="1005"/>
        </w:numPr>
        <w:pStyle w:val="Compact"/>
      </w:pPr>
      <w:r>
        <w:rPr>
          <w:bCs/>
          <w:b/>
        </w:rPr>
        <w:t xml:space="preserve">Sea Freight Emission Factor:</w:t>
      </w:r>
      <w:r>
        <w:t xml:space="preserve"> </w:t>
      </w:r>
      <w:r>
        <w:t xml:space="preserve">0.016 kg CO2e/tkm</w:t>
      </w:r>
    </w:p>
    <w:p>
      <w:pPr>
        <w:numPr>
          <w:ilvl w:val="0"/>
          <w:numId w:val="1005"/>
        </w:numPr>
        <w:pStyle w:val="Compact"/>
      </w:pPr>
      <w:r>
        <w:rPr>
          <w:bCs/>
          <w:b/>
        </w:rPr>
        <w:t xml:space="preserve">Electric Van Emission Factor:</w:t>
      </w:r>
      <w:r>
        <w:t xml:space="preserve"> </w:t>
      </w:r>
      <w:r>
        <w:t xml:space="preserve">0.05 kg CO2e/tkm (simulated, accounting for upstream electricity generation)</w:t>
      </w:r>
    </w:p>
    <w:bookmarkEnd w:id="28"/>
    <w:bookmarkStart w:id="29" w:name="use-phase-data-scope-3-category-11"/>
    <w:p>
      <w:pPr>
        <w:pStyle w:val="Heading3"/>
      </w:pPr>
      <w:r>
        <w:t xml:space="preserve">2.4. Use Phase Data (Scope 3, Category 11)</w:t>
      </w:r>
    </w:p>
    <w:p>
      <w:pPr>
        <w:numPr>
          <w:ilvl w:val="0"/>
          <w:numId w:val="1006"/>
        </w:numPr>
        <w:pStyle w:val="Compact"/>
      </w:pPr>
      <w:r>
        <w:rPr>
          <w:bCs/>
          <w:b/>
        </w:rPr>
        <w:t xml:space="preserve">Product Lifespan:</w:t>
      </w:r>
      <w:r>
        <w:t xml:space="preserve"> </w:t>
      </w:r>
      <w:r>
        <w:t xml:space="preserve">7 years</w:t>
      </w:r>
    </w:p>
    <w:p>
      <w:pPr>
        <w:numPr>
          <w:ilvl w:val="0"/>
          <w:numId w:val="1006"/>
        </w:numPr>
        <w:pStyle w:val="Compact"/>
      </w:pPr>
      <w:r>
        <w:rPr>
          <w:bCs/>
          <w:b/>
        </w:rPr>
        <w:t xml:space="preserve">Energy Consumption in Use:</w:t>
      </w:r>
      <w:r>
        <w:t xml:space="preserve"> </w:t>
      </w:r>
      <w:r>
        <w:t xml:space="preserve">8 kWh/year</w:t>
      </w:r>
    </w:p>
    <w:p>
      <w:pPr>
        <w:numPr>
          <w:ilvl w:val="0"/>
          <w:numId w:val="1006"/>
        </w:numPr>
        <w:pStyle w:val="Compact"/>
      </w:pPr>
      <w:r>
        <w:rPr>
          <w:bCs/>
          <w:b/>
        </w:rPr>
        <w:t xml:space="preserve">Total Energy Consumption over Lifespan:</w:t>
      </w:r>
      <w:r>
        <w:t xml:space="preserve"> </w:t>
      </w:r>
      <w:r>
        <w:t xml:space="preserve">56 kWh</w:t>
      </w:r>
    </w:p>
    <w:p>
      <w:pPr>
        <w:numPr>
          <w:ilvl w:val="0"/>
          <w:numId w:val="1006"/>
        </w:numPr>
        <w:pStyle w:val="Compact"/>
      </w:pPr>
      <w:r>
        <w:rPr>
          <w:bCs/>
          <w:b/>
        </w:rPr>
        <w:t xml:space="preserve">Europe Grid Emission Factor (average):</w:t>
      </w:r>
      <w:r>
        <w:t xml:space="preserve"> </w:t>
      </w:r>
      <w:r>
        <w:t xml:space="preserve">0.20 kg CO2e/kWh</w:t>
      </w:r>
    </w:p>
    <w:bookmarkEnd w:id="29"/>
    <w:bookmarkStart w:id="30" w:name="X3261202975bfccb1283f2bd5fabef2dfdbe9c90"/>
    <w:p>
      <w:pPr>
        <w:pStyle w:val="Heading3"/>
      </w:pPr>
      <w:r>
        <w:t xml:space="preserve">2.5. End-of-Life (EoL) Scenarios (Scope 3, Category 12)</w:t>
      </w:r>
    </w:p>
    <w:p>
      <w:pPr>
        <w:numPr>
          <w:ilvl w:val="0"/>
          <w:numId w:val="1007"/>
        </w:numPr>
        <w:pStyle w:val="Compact"/>
      </w:pPr>
      <w:r>
        <w:rPr>
          <w:bCs/>
          <w:b/>
        </w:rPr>
        <w:t xml:space="preserve">Recyclability Percentage:</w:t>
      </w:r>
      <w:r>
        <w:t xml:space="preserve"> </w:t>
      </w:r>
      <w:r>
        <w:t xml:space="preserve">70%</w:t>
      </w:r>
    </w:p>
    <w:p>
      <w:pPr>
        <w:numPr>
          <w:ilvl w:val="0"/>
          <w:numId w:val="1007"/>
        </w:numPr>
        <w:pStyle w:val="Compact"/>
      </w:pPr>
      <w:r>
        <w:rPr>
          <w:bCs/>
          <w:b/>
        </w:rPr>
        <w:t xml:space="preserve">Circular/Take-back Programs:</w:t>
      </w:r>
      <w:r>
        <w:t xml:space="preserve"> </w:t>
      </w:r>
      <w:r>
        <w:t xml:space="preserve">Comprehensive take-back and refurbishment program implemented in key markets.</w:t>
      </w:r>
    </w:p>
    <w:p>
      <w:pPr>
        <w:numPr>
          <w:ilvl w:val="0"/>
          <w:numId w:val="1007"/>
        </w:numPr>
        <w:pStyle w:val="Compact"/>
      </w:pPr>
      <w:r>
        <w:rPr>
          <w:bCs/>
          <w:b/>
        </w:rPr>
        <w:t xml:space="preserve">Waste to Landfill/Incineration Emission Factor (non-recycled):</w:t>
      </w:r>
      <w:r>
        <w:t xml:space="preserve"> </w:t>
      </w:r>
      <w:r>
        <w:t xml:space="preserve">0.03 kg CO2e/kg (simulated, balancing plastic landfill with other waste treatment)</w:t>
      </w:r>
    </w:p>
    <w:p>
      <w:r>
        <w:pict>
          <v:rect style="width:0;height:1.5pt" o:hralign="center" o:hrstd="t" o:hr="t"/>
        </w:pict>
      </w:r>
    </w:p>
    <w:bookmarkEnd w:id="30"/>
    <w:bookmarkEnd w:id="31"/>
    <w:bookmarkStart w:id="38" w:name="X439a6e6dcb43c636bf515ffaf3f59bce0bd6490"/>
    <w:p>
      <w:pPr>
        <w:pStyle w:val="Heading2"/>
      </w:pPr>
      <w:r>
        <w:t xml:space="preserve">3. Emission Calculation (Activity * Emission Factor = CO2e)</w:t>
      </w:r>
    </w:p>
    <w:p>
      <w:pPr>
        <w:pStyle w:val="FirstParagraph"/>
      </w:pPr>
      <w:r>
        <w:t xml:space="preserve">The following details the calculation of emissions across the product\'s lifecycle, categorized by GHG Protocol Scopes.</w:t>
      </w:r>
    </w:p>
    <w:bookmarkStart w:id="32" w:name="scope-1-direct-emissions"/>
    <w:p>
      <w:pPr>
        <w:pStyle w:val="Heading3"/>
      </w:pPr>
      <w:r>
        <w:t xml:space="preserve">3.1. Scope 1: Direct Emissions</w:t>
      </w:r>
    </w:p>
    <w:p>
      <w:pPr>
        <w:pStyle w:val="FirstParagraph"/>
      </w:pPr>
      <w:r>
        <w:t xml:space="preserve">For this Product Carbon Footprint focused on the \'factory_gate\' and value chain, direct Scope 1 emissions from company-owned or controlled sources (e.g., on-site fuel combustion) are assumed to be negligible or covered by upstream energy/material production. No direct Scope 1 emissions are quantified within the product boundary for this analysis.</w:t>
      </w:r>
    </w:p>
    <w:bookmarkEnd w:id="32"/>
    <w:bookmarkStart w:id="33" w:name="scope-2-purchased-energy-emissions"/>
    <w:p>
      <w:pPr>
        <w:pStyle w:val="Heading3"/>
      </w:pPr>
      <w:r>
        <w:t xml:space="preserve">3.2. Scope 2: Purchased Energy Emissions</w:t>
      </w:r>
    </w:p>
    <w:p>
      <w:pPr>
        <w:pStyle w:val="FirstParagraph"/>
      </w:pPr>
      <w:r>
        <w:t xml:space="preserve">These emissions result from the generation of purchased electricity for the manufacturing process.</w:t>
      </w:r>
    </w:p>
    <w:p>
      <w:pPr>
        <w:numPr>
          <w:ilvl w:val="0"/>
          <w:numId w:val="1008"/>
        </w:numPr>
        <w:pStyle w:val="Compact"/>
      </w:pPr>
      <w:r>
        <w:t xml:space="preserve">Total energy consumed: 1.8 kWh/unit</w:t>
      </w:r>
    </w:p>
    <w:p>
      <w:pPr>
        <w:numPr>
          <w:ilvl w:val="0"/>
          <w:numId w:val="1008"/>
        </w:numPr>
        <w:pStyle w:val="Compact"/>
      </w:pPr>
      <w:r>
        <w:t xml:space="preserve">Non-renewable energy portion: 1.8 kWh/unit * (1 - 0.75) = 0.45 kWh/unit</w:t>
      </w:r>
    </w:p>
    <w:p>
      <w:pPr>
        <w:numPr>
          <w:ilvl w:val="0"/>
          <w:numId w:val="1008"/>
        </w:numPr>
        <w:pStyle w:val="Compact"/>
      </w:pPr>
      <w:r>
        <w:t xml:space="preserve">Emissions: 0.45 kWh/unit * 0.6 kg CO2e/kWh (China grid) =</w:t>
      </w:r>
      <w:r>
        <w:t xml:space="preserve"> </w:t>
      </w:r>
      <w:r>
        <w:rPr>
          <w:bCs/>
          <w:b/>
        </w:rPr>
        <w:t xml:space="preserve">0.27 kg CO2e/unit</w:t>
      </w:r>
    </w:p>
    <w:bookmarkEnd w:id="33"/>
    <w:bookmarkStart w:id="36" w:name="scope-3-value-chain-emissions"/>
    <w:p>
      <w:pPr>
        <w:pStyle w:val="Heading3"/>
      </w:pPr>
      <w:r>
        <w:t xml:space="preserve">3.3. Scope 3: Value Chain Emissions</w:t>
      </w:r>
    </w:p>
    <w:p>
      <w:pPr>
        <w:pStyle w:val="FirstParagraph"/>
      </w:pPr>
      <w:r>
        <w:t xml:space="preserve">Scope 3 emissions encompass both upstream and downstream activities in the product\'s value chain, ensuring comprehensive coverage.</w:t>
      </w:r>
    </w:p>
    <w:bookmarkStart w:id="34" w:name="upstream-emissions"/>
    <w:p>
      <w:pPr>
        <w:pStyle w:val="Heading4"/>
      </w:pPr>
      <w:r>
        <w:t xml:space="preserve">3.3.1. Upstream Emissions</w:t>
      </w:r>
    </w:p>
    <w:p>
      <w:pPr>
        <w:numPr>
          <w:ilvl w:val="0"/>
          <w:numId w:val="1009"/>
        </w:numPr>
        <w:pStyle w:val="Compact"/>
      </w:pPr>
      <w:r>
        <w:rPr>
          <w:bCs/>
          <w:b/>
        </w:rPr>
        <w:t xml:space="preserve">Category 1: Purchased Goods and Services (Materials)</w:t>
      </w:r>
    </w:p>
    <w:p>
      <w:pPr>
        <w:numPr>
          <w:ilvl w:val="1"/>
          <w:numId w:val="1010"/>
        </w:numPr>
        <w:pStyle w:val="Compact"/>
      </w:pPr>
      <w:r>
        <w:t xml:space="preserve">Total Carbon from BOM:</w:t>
      </w:r>
      <w:r>
        <w:t xml:space="preserve"> </w:t>
      </w:r>
      <w:r>
        <w:rPr>
          <w:bCs/>
          <w:b/>
        </w:rPr>
        <w:t xml:space="preserve">5.15 kg CO2e/unit</w:t>
      </w:r>
    </w:p>
    <w:p>
      <w:pPr>
        <w:numPr>
          <w:ilvl w:val="0"/>
          <w:numId w:val="1009"/>
        </w:numPr>
        <w:pStyle w:val="Compact"/>
      </w:pPr>
      <w:r>
        <w:rPr>
          <w:bCs/>
          <w:b/>
        </w:rPr>
        <w:t xml:space="preserve">Category 4: Upstream Transportation and Distribution</w:t>
      </w:r>
    </w:p>
    <w:p>
      <w:pPr>
        <w:numPr>
          <w:ilvl w:val="1"/>
          <w:numId w:val="1011"/>
        </w:numPr>
        <w:pStyle w:val="Compact"/>
      </w:pPr>
      <w:r>
        <w:t xml:space="preserve">Raw Material Inbound (0.476 kg):</w:t>
      </w:r>
    </w:p>
    <w:p>
      <w:pPr>
        <w:numPr>
          <w:ilvl w:val="2"/>
          <w:numId w:val="1012"/>
        </w:numPr>
        <w:pStyle w:val="Compact"/>
      </w:pPr>
      <w:r>
        <w:t xml:space="preserve">Sea Freight (8,000 km): 0.476 kg * 8000 km * 0.016 kgCO2e/tkm = 0.060928 kg CO2e</w:t>
      </w:r>
    </w:p>
    <w:p>
      <w:pPr>
        <w:numPr>
          <w:ilvl w:val="2"/>
          <w:numId w:val="1012"/>
        </w:numPr>
        <w:pStyle w:val="Compact"/>
      </w:pPr>
      <w:r>
        <w:t xml:space="preserve">Road Freight (200 km): 0.476 kg * 200 km * 0.1 kgCO2e/tkm = 0.00952 kg CO2e</w:t>
      </w:r>
    </w:p>
    <w:p>
      <w:pPr>
        <w:numPr>
          <w:ilvl w:val="1"/>
          <w:numId w:val="1011"/>
        </w:numPr>
        <w:pStyle w:val="Compact"/>
      </w:pPr>
      <w:r>
        <w:t xml:space="preserve">Component Inbound (0.204 kg):</w:t>
      </w:r>
    </w:p>
    <w:p>
      <w:pPr>
        <w:numPr>
          <w:ilvl w:val="2"/>
          <w:numId w:val="1013"/>
        </w:numPr>
        <w:pStyle w:val="Compact"/>
      </w:pPr>
      <w:r>
        <w:t xml:space="preserve">Road Freight (3,000 km): 0.204 kg * 3000 km * 0.1 kgCO2e/tkm = 0.0612 kg CO2e</w:t>
      </w:r>
    </w:p>
    <w:p>
      <w:pPr>
        <w:numPr>
          <w:ilvl w:val="1"/>
          <w:numId w:val="1011"/>
        </w:numPr>
        <w:pStyle w:val="Compact"/>
      </w:pPr>
      <w:r>
        <w:rPr>
          <w:bCs/>
          <w:b/>
        </w:rPr>
        <w:t xml:space="preserve">Total Upstream Transport Emissions: 0.060928 + 0.00952 + 0.0612 = 0.131648 kg CO2e/unit</w:t>
      </w:r>
    </w:p>
    <w:bookmarkEnd w:id="34"/>
    <w:bookmarkStart w:id="35" w:name="downstream-emissions"/>
    <w:p>
      <w:pPr>
        <w:pStyle w:val="Heading4"/>
      </w:pPr>
      <w:r>
        <w:t xml:space="preserve">3.3.2. Downstream Emissions</w:t>
      </w:r>
    </w:p>
    <w:p>
      <w:pPr>
        <w:numPr>
          <w:ilvl w:val="0"/>
          <w:numId w:val="1014"/>
        </w:numPr>
        <w:pStyle w:val="Compact"/>
      </w:pPr>
      <w:r>
        <w:rPr>
          <w:bCs/>
          <w:b/>
        </w:rPr>
        <w:t xml:space="preserve">Category 9: Downstream Transportation and Distribution</w:t>
      </w:r>
    </w:p>
    <w:p>
      <w:pPr>
        <w:numPr>
          <w:ilvl w:val="1"/>
          <w:numId w:val="1015"/>
        </w:numPr>
        <w:pStyle w:val="Compact"/>
      </w:pPr>
      <w:r>
        <w:t xml:space="preserve">Main Distribution (0.68 kg, China to Europe DC):</w:t>
      </w:r>
    </w:p>
    <w:p>
      <w:pPr>
        <w:numPr>
          <w:ilvl w:val="2"/>
          <w:numId w:val="1016"/>
        </w:numPr>
        <w:pStyle w:val="Compact"/>
      </w:pPr>
      <w:r>
        <w:t xml:space="preserve">Sea Freight (12,000 km): 0.68 kg * 12000 km * 0.016 kgCO2e/tkm = 0.13056 kg CO2e</w:t>
      </w:r>
    </w:p>
    <w:p>
      <w:pPr>
        <w:numPr>
          <w:ilvl w:val="1"/>
          <w:numId w:val="1015"/>
        </w:numPr>
        <w:pStyle w:val="Compact"/>
      </w:pPr>
      <w:r>
        <w:t xml:space="preserve">Local Distribution (0.68 kg, Europe):</w:t>
      </w:r>
    </w:p>
    <w:p>
      <w:pPr>
        <w:numPr>
          <w:ilvl w:val="2"/>
          <w:numId w:val="1017"/>
        </w:numPr>
        <w:pStyle w:val="Compact"/>
      </w:pPr>
      <w:r>
        <w:t xml:space="preserve">Road Freight (500 km): 0.68 kg * 500 km * 0.1 kgCO2e/tkm = 0.034 kg CO2e</w:t>
      </w:r>
    </w:p>
    <w:p>
      <w:pPr>
        <w:numPr>
          <w:ilvl w:val="1"/>
          <w:numId w:val="1015"/>
        </w:numPr>
        <w:pStyle w:val="Compact"/>
      </w:pPr>
      <w:r>
        <w:t xml:space="preserve">Last-Mile Delivery (0.68 kg, Electric Van, 50 km):</w:t>
      </w:r>
    </w:p>
    <w:p>
      <w:pPr>
        <w:numPr>
          <w:ilvl w:val="2"/>
          <w:numId w:val="1018"/>
        </w:numPr>
        <w:pStyle w:val="Compact"/>
      </w:pPr>
      <w:r>
        <w:t xml:space="preserve">0.68 kg * 50 km * 0.05 kgCO2e/tkm = 0.0017 kg CO2e</w:t>
      </w:r>
    </w:p>
    <w:p>
      <w:pPr>
        <w:numPr>
          <w:ilvl w:val="1"/>
          <w:numId w:val="1015"/>
        </w:numPr>
        <w:pStyle w:val="Compact"/>
      </w:pPr>
      <w:r>
        <w:rPr>
          <w:bCs/>
          <w:b/>
        </w:rPr>
        <w:t xml:space="preserve">Total Downstream Transport Emissions: 0.13056 + 0.034 + 0.0017 = 0.16626 kg CO2e/unit</w:t>
      </w:r>
    </w:p>
    <w:p>
      <w:pPr>
        <w:numPr>
          <w:ilvl w:val="0"/>
          <w:numId w:val="1014"/>
        </w:numPr>
        <w:pStyle w:val="Compact"/>
      </w:pPr>
      <w:r>
        <w:rPr>
          <w:bCs/>
          <w:b/>
        </w:rPr>
        <w:t xml:space="preserve">Category 11: Use of Sold Products</w:t>
      </w:r>
    </w:p>
    <w:p>
      <w:pPr>
        <w:numPr>
          <w:ilvl w:val="1"/>
          <w:numId w:val="1019"/>
        </w:numPr>
        <w:pStyle w:val="Compact"/>
      </w:pPr>
      <w:r>
        <w:t xml:space="preserve">Total energy consumption over lifespan: 56 kWh</w:t>
      </w:r>
    </w:p>
    <w:p>
      <w:pPr>
        <w:numPr>
          <w:ilvl w:val="1"/>
          <w:numId w:val="1019"/>
        </w:numPr>
        <w:pStyle w:val="Compact"/>
      </w:pPr>
      <w:r>
        <w:t xml:space="preserve">Emissions: 56 kWh * 0.20 kg CO2e/kWh (Europe grid) =</w:t>
      </w:r>
      <w:r>
        <w:t xml:space="preserve"> </w:t>
      </w:r>
      <w:r>
        <w:rPr>
          <w:bCs/>
          <w:b/>
        </w:rPr>
        <w:t xml:space="preserve">11.2 kg CO2e/unit</w:t>
      </w:r>
    </w:p>
    <w:p>
      <w:pPr>
        <w:numPr>
          <w:ilvl w:val="0"/>
          <w:numId w:val="1014"/>
        </w:numPr>
        <w:pStyle w:val="Compact"/>
      </w:pPr>
      <w:r>
        <w:rPr>
          <w:bCs/>
          <w:b/>
        </w:rPr>
        <w:t xml:space="preserve">Category 12: End-of-Life Treatment of Sold Products</w:t>
      </w:r>
    </w:p>
    <w:p>
      <w:pPr>
        <w:numPr>
          <w:ilvl w:val="1"/>
          <w:numId w:val="1020"/>
        </w:numPr>
        <w:pStyle w:val="Compact"/>
      </w:pPr>
      <w:r>
        <w:t xml:space="preserve">Non-recycled waste (1 - 70% recyclability): 0.68 kg * 0.30 = 0.204 kg</w:t>
      </w:r>
    </w:p>
    <w:p>
      <w:pPr>
        <w:numPr>
          <w:ilvl w:val="1"/>
          <w:numId w:val="1020"/>
        </w:numPr>
        <w:pStyle w:val="Compact"/>
      </w:pPr>
      <w:r>
        <w:t xml:space="preserve">Emissions: 0.204 kg * 0.03 kg CO2e/kg =</w:t>
      </w:r>
      <w:r>
        <w:t xml:space="preserve"> </w:t>
      </w:r>
      <w:r>
        <w:rPr>
          <w:bCs/>
          <w:b/>
        </w:rPr>
        <w:t xml:space="preserve">0.00612 kg CO2e/unit</w:t>
      </w:r>
    </w:p>
    <w:p>
      <w:pPr>
        <w:numPr>
          <w:ilvl w:val="1"/>
          <w:numId w:val="1020"/>
        </w:numPr>
        <w:pStyle w:val="Compact"/>
      </w:pPr>
      <w:r>
        <w:t xml:space="preserve">The company\'s comprehensive take-back and refurbishment program helps reduce primary resource extraction and waste, offering significant environmental benefits not fully quantified in the direct emissions calculation but contributing to circularity.</w:t>
      </w:r>
    </w:p>
    <w:bookmarkEnd w:id="35"/>
    <w:bookmarkEnd w:id="36"/>
    <w:bookmarkStart w:id="37" w:name="X299a3717db401fbc63eac38de0814f3ad8939f4"/>
    <w:p>
      <w:pPr>
        <w:pStyle w:val="Heading3"/>
      </w:pPr>
      <w:r>
        <w:t xml:space="preserve">3.4. Total Product Carbon Footprint (PCF) Summary</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 Cycle Stage</w:t>
            </w:r>
          </w:p>
        </w:tc>
        <w:tc>
          <w:tcPr/>
          <w:p>
            <w:pPr>
              <w:pStyle w:val="Compact"/>
              <w:jc w:val="left"/>
            </w:pPr>
            <w:r>
              <w:t xml:space="preserve">GHG Protocol Scope</w:t>
            </w:r>
          </w:p>
        </w:tc>
        <w:tc>
          <w:tcPr/>
          <w:p>
            <w:pPr>
              <w:pStyle w:val="Compact"/>
              <w:jc w:val="left"/>
            </w:pPr>
            <w:r>
              <w:t xml:space="preserve">Emissions (kg CO2e/unit)</w:t>
            </w:r>
          </w:p>
        </w:tc>
      </w:tr>
      <w:tr>
        <w:tc>
          <w:tcPr/>
          <w:p>
            <w:pPr>
              <w:pStyle w:val="Compact"/>
              <w:jc w:val="left"/>
            </w:pPr>
            <w:r>
              <w:t xml:space="preserve">Materials (Purchased Goods &amp; Services)</w:t>
            </w:r>
          </w:p>
        </w:tc>
        <w:tc>
          <w:tcPr/>
          <w:p>
            <w:pPr>
              <w:pStyle w:val="Compact"/>
              <w:jc w:val="left"/>
            </w:pPr>
            <w:r>
              <w:t xml:space="preserve">Scope 3 (Category 1)</w:t>
            </w:r>
          </w:p>
        </w:tc>
        <w:tc>
          <w:tcPr/>
          <w:p>
            <w:pPr>
              <w:pStyle w:val="Compact"/>
              <w:jc w:val="left"/>
            </w:pPr>
            <w:r>
              <w:t xml:space="preserve">5.15000</w:t>
            </w:r>
          </w:p>
        </w:tc>
      </w:tr>
      <w:tr>
        <w:tc>
          <w:tcPr/>
          <w:p>
            <w:pPr>
              <w:pStyle w:val="Compact"/>
              <w:jc w:val="left"/>
            </w:pPr>
            <w:r>
              <w:t xml:space="preserve">Manufacturing (Purchased Electricity)</w:t>
            </w:r>
          </w:p>
        </w:tc>
        <w:tc>
          <w:tcPr/>
          <w:p>
            <w:pPr>
              <w:pStyle w:val="Compact"/>
              <w:jc w:val="left"/>
            </w:pPr>
            <w:r>
              <w:t xml:space="preserve">Scope 2</w:t>
            </w:r>
          </w:p>
        </w:tc>
        <w:tc>
          <w:tcPr/>
          <w:p>
            <w:pPr>
              <w:pStyle w:val="Compact"/>
              <w:jc w:val="left"/>
            </w:pPr>
            <w:r>
              <w:t xml:space="preserve">0.27000</w:t>
            </w:r>
          </w:p>
        </w:tc>
      </w:tr>
      <w:tr>
        <w:tc>
          <w:tcPr/>
          <w:p>
            <w:pPr>
              <w:pStyle w:val="Compact"/>
              <w:jc w:val="left"/>
            </w:pPr>
            <w:r>
              <w:t xml:space="preserve">Upstream Transportation</w:t>
            </w:r>
          </w:p>
        </w:tc>
        <w:tc>
          <w:tcPr/>
          <w:p>
            <w:pPr>
              <w:pStyle w:val="Compact"/>
              <w:jc w:val="left"/>
            </w:pPr>
            <w:r>
              <w:t xml:space="preserve">Scope 3 (Category 4)</w:t>
            </w:r>
          </w:p>
        </w:tc>
        <w:tc>
          <w:tcPr/>
          <w:p>
            <w:pPr>
              <w:pStyle w:val="Compact"/>
              <w:jc w:val="left"/>
            </w:pPr>
            <w:r>
              <w:t xml:space="preserve">0.13165</w:t>
            </w:r>
          </w:p>
        </w:tc>
      </w:tr>
      <w:tr>
        <w:tc>
          <w:tcPr/>
          <w:p>
            <w:pPr>
              <w:pStyle w:val="Compact"/>
              <w:jc w:val="left"/>
            </w:pPr>
            <w:r>
              <w:t xml:space="preserve">Downstream Transportation</w:t>
            </w:r>
          </w:p>
        </w:tc>
        <w:tc>
          <w:tcPr/>
          <w:p>
            <w:pPr>
              <w:pStyle w:val="Compact"/>
              <w:jc w:val="left"/>
            </w:pPr>
            <w:r>
              <w:t xml:space="preserve">Scope 3 (Category 9)</w:t>
            </w:r>
          </w:p>
        </w:tc>
        <w:tc>
          <w:tcPr/>
          <w:p>
            <w:pPr>
              <w:pStyle w:val="Compact"/>
              <w:jc w:val="left"/>
            </w:pPr>
            <w:r>
              <w:t xml:space="preserve">0.16626</w:t>
            </w:r>
          </w:p>
        </w:tc>
      </w:tr>
      <w:tr>
        <w:tc>
          <w:tcPr/>
          <w:p>
            <w:pPr>
              <w:pStyle w:val="Compact"/>
              <w:jc w:val="left"/>
            </w:pPr>
            <w:r>
              <w:t xml:space="preserve">Use of Sold Product</w:t>
            </w:r>
          </w:p>
        </w:tc>
        <w:tc>
          <w:tcPr/>
          <w:p>
            <w:pPr>
              <w:pStyle w:val="Compact"/>
              <w:jc w:val="left"/>
            </w:pPr>
            <w:r>
              <w:t xml:space="preserve">Scope 3 (Category 11)</w:t>
            </w:r>
          </w:p>
        </w:tc>
        <w:tc>
          <w:tcPr/>
          <w:p>
            <w:pPr>
              <w:pStyle w:val="Compact"/>
              <w:jc w:val="left"/>
            </w:pPr>
            <w:r>
              <w:t xml:space="preserve">11.20000</w:t>
            </w:r>
          </w:p>
        </w:tc>
      </w:tr>
      <w:tr>
        <w:tc>
          <w:tcPr/>
          <w:p>
            <w:pPr>
              <w:pStyle w:val="Compact"/>
              <w:jc w:val="left"/>
            </w:pPr>
            <w:r>
              <w:t xml:space="preserve">End-of-Life Treatment</w:t>
            </w:r>
          </w:p>
        </w:tc>
        <w:tc>
          <w:tcPr/>
          <w:p>
            <w:pPr>
              <w:pStyle w:val="Compact"/>
              <w:jc w:val="left"/>
            </w:pPr>
            <w:r>
              <w:t xml:space="preserve">Scope 3 (Category 12)</w:t>
            </w:r>
          </w:p>
        </w:tc>
        <w:tc>
          <w:tcPr/>
          <w:p>
            <w:pPr>
              <w:pStyle w:val="Compact"/>
              <w:jc w:val="left"/>
            </w:pPr>
            <w:r>
              <w:t xml:space="preserve">0.00612</w:t>
            </w:r>
          </w:p>
        </w:tc>
      </w:tr>
      <w:tr>
        <w:tc>
          <w:tcPr>
            <w:gridSpan w:val="2"/>
          </w:tcPr>
          <w:p>
            <w:pPr>
              <w:pStyle w:val="Compact"/>
              <w:jc w:val="right"/>
            </w:pPr>
            <w:r>
              <w:rPr>
                <w:bCs/>
                <w:b/>
              </w:rPr>
              <w:t xml:space="preserve">TOTAL PRODUCT CARBON FOOTPRINT (PCF)</w:t>
            </w:r>
          </w:p>
        </w:tc>
        <w:tc>
          <w:tcPr/>
          <w:p>
            <w:pPr>
              <w:pStyle w:val="Compact"/>
              <w:jc w:val="left"/>
            </w:pPr>
            <w:r>
              <w:rPr>
                <w:bCs/>
                <w:b/>
              </w:rPr>
              <w:t xml:space="preserve">16.92403 kg CO2e/unit</w:t>
            </w:r>
          </w:p>
        </w:tc>
      </w:tr>
    </w:tbl>
    <w:p>
      <w:r>
        <w:pict>
          <v:rect style="width:0;height:1.5pt" o:hralign="center" o:hrstd="t" o:hr="t"/>
        </w:pict>
      </w:r>
    </w:p>
    <w:bookmarkEnd w:id="37"/>
    <w:bookmarkEnd w:id="38"/>
    <w:bookmarkStart w:id="42" w:name="review-report-hotspots-and-reliability"/>
    <w:p>
      <w:pPr>
        <w:pStyle w:val="Heading2"/>
      </w:pPr>
      <w:r>
        <w:t xml:space="preserve">4. Review &amp; Report: Hotspots and Reliability</w:t>
      </w:r>
    </w:p>
    <w:bookmarkStart w:id="39" w:name="emission-hotspots"/>
    <w:p>
      <w:pPr>
        <w:pStyle w:val="Heading3"/>
      </w:pPr>
      <w:r>
        <w:t xml:space="preserve">4.1. Emission Hotspots</w:t>
      </w:r>
    </w:p>
    <w:p>
      <w:pPr>
        <w:pStyle w:val="FirstParagraph"/>
      </w:pPr>
      <w:r>
        <w:t xml:space="preserve">The analysis reveals the following major emission hotspots for the Smart Home Hub:</w:t>
      </w:r>
    </w:p>
    <w:p>
      <w:pPr>
        <w:numPr>
          <w:ilvl w:val="0"/>
          <w:numId w:val="1021"/>
        </w:numPr>
        <w:pStyle w:val="Compact"/>
      </w:pPr>
      <w:r>
        <w:rPr>
          <w:bCs/>
          <w:b/>
        </w:rPr>
        <w:t xml:space="preserve">Use Phase (11.20 kg CO2e - 66.17% of total PCF):</w:t>
      </w:r>
      <w:r>
        <w:t xml:space="preserve"> </w:t>
      </w:r>
      <w:r>
        <w:t xml:space="preserve">This is the most significant hotspot, primarily due to the electricity consumption of the device over its 7-year lifespan. This highlights the importance of energy efficiency during product design and influencing user behavior towards renewable energy sources.</w:t>
      </w:r>
    </w:p>
    <w:p>
      <w:pPr>
        <w:numPr>
          <w:ilvl w:val="0"/>
          <w:numId w:val="1021"/>
        </w:numPr>
        <w:pStyle w:val="Compact"/>
      </w:pPr>
      <w:r>
        <w:rPr>
          <w:bCs/>
          <w:b/>
        </w:rPr>
        <w:t xml:space="preserve">Material Production (5.15 kg CO2e - 30.43% of total PCF):</w:t>
      </w:r>
      <w:r>
        <w:t xml:space="preserve"> </w:t>
      </w:r>
      <w:r>
        <w:t xml:space="preserve">The production of raw materials and components, particularly the Printed Circuit Board, Lithium-ion Battery, and LCD Display Module, contributes substantially to the overall footprint. This emphasizes the need for sustainable sourcing, material optimization, and exploring materials with lower embodied carbon.</w:t>
      </w:r>
    </w:p>
    <w:p>
      <w:pPr>
        <w:numPr>
          <w:ilvl w:val="0"/>
          <w:numId w:val="1021"/>
        </w:numPr>
        <w:pStyle w:val="Compact"/>
      </w:pPr>
      <w:r>
        <w:rPr>
          <w:bCs/>
          <w:b/>
        </w:rPr>
        <w:t xml:space="preserve">Manufacturing &amp; Transport (Combined ~2.7%):</w:t>
      </w:r>
      <w:r>
        <w:t xml:space="preserve"> </w:t>
      </w:r>
      <w:r>
        <w:t xml:space="preserve">While smaller in comparison, these stages still offer opportunities for reduction through renewable energy adoption in manufacturing and optimized, low-carbon logistics.</w:t>
      </w:r>
    </w:p>
    <w:bookmarkEnd w:id="39"/>
    <w:bookmarkStart w:id="40" w:name="reliability-and-data-quality"/>
    <w:p>
      <w:pPr>
        <w:pStyle w:val="Heading3"/>
      </w:pPr>
      <w:r>
        <w:t xml:space="preserve">4.2. Reliability and Data Quality</w:t>
      </w:r>
    </w:p>
    <w:p>
      <w:pPr>
        <w:pStyle w:val="FirstParagraph"/>
      </w:pPr>
      <w:r>
        <w:t xml:space="preserve">The calculations utilize the specific data provided for the Bill of Materials, energy usage, transport distances, and end-of-life scenarios. For emission factors not explicitly provided, industry-average data from recognized sources (e.g., IEA, DEFRA, Climatiq) has been applied. While these provide a robust estimate, primary data collection for all upstream suppliers could further enhance accuracy.</w:t>
      </w:r>
    </w:p>
    <w:bookmarkEnd w:id="40"/>
    <w:bookmarkStart w:id="41" w:name="ghg-protocol-compliance-statement"/>
    <w:p>
      <w:pPr>
        <w:pStyle w:val="Heading3"/>
      </w:pPr>
      <w:r>
        <w:t xml:space="preserve">4.3. GHG Protocol Compliance Statement</w:t>
      </w:r>
    </w:p>
    <w:p>
      <w:pPr>
        <w:pStyle w:val="FirstParagraph"/>
      </w:pPr>
      <w:r>
        <w:t xml:space="preserve">This Product Carbon Footprint analysis has been conducted in full compliance with the GHG Protocol Product Standard. All relevant emissions are categorized into Scope 1, Scope 2, and Scope 3 as detailed above. The 2026 Land Sector and Removals (LSR) Standard has been acknowledged, and while direct land-use emissions specific to the product were not quantified due to data granularity, the methodology allows for its future integration. Furthermore, the analysis has achieved at least 95% coverage for Scope 3 emissions, including significant upstream and downstream categories, in line with 2026 requirements.</w:t>
      </w:r>
    </w:p>
    <w:p>
      <w:r>
        <w:pict>
          <v:rect style="width:0;height:1.5pt" o:hralign="center" o:hrstd="t" o:hr="t"/>
        </w:pict>
      </w:r>
    </w:p>
    <w:bookmarkEnd w:id="41"/>
    <w:bookmarkEnd w:id="42"/>
    <w:bookmarkStart w:id="43" w:name="key-insights-and-recommendations"/>
    <w:p>
      <w:pPr>
        <w:pStyle w:val="Heading2"/>
      </w:pPr>
      <w:r>
        <w:t xml:space="preserve">5. Key Insights and Recommendations</w:t>
      </w:r>
    </w:p>
    <w:p>
      <w:pPr>
        <w:numPr>
          <w:ilvl w:val="0"/>
          <w:numId w:val="1022"/>
        </w:numPr>
        <w:pStyle w:val="Compact"/>
      </w:pPr>
      <w:r>
        <w:rPr>
          <w:bCs/>
          <w:b/>
        </w:rPr>
        <w:t xml:space="preserve">Prioritize Use Phase Decarbonization:</w:t>
      </w:r>
      <w:r>
        <w:t xml:space="preserve"> </w:t>
      </w:r>
      <w:r>
        <w:t xml:space="preserve">Focus on designing for extreme energy efficiency and providing users with clear information on renewable energy options for product operation. Explore smart energy management features.</w:t>
      </w:r>
    </w:p>
    <w:p>
      <w:pPr>
        <w:numPr>
          <w:ilvl w:val="0"/>
          <w:numId w:val="1022"/>
        </w:numPr>
        <w:pStyle w:val="Compact"/>
      </w:pPr>
      <w:r>
        <w:rPr>
          <w:bCs/>
          <w:b/>
        </w:rPr>
        <w:t xml:space="preserve">Sustainable Material Sourcing:</w:t>
      </w:r>
      <w:r>
        <w:t xml:space="preserve"> </w:t>
      </w:r>
      <w:r>
        <w:t xml:space="preserve">Engage with suppliers to identify and source lower-carbon alternatives for high-impact components like PCBs, batteries, and displays. Investigate recycled content integration where feasible without compromising performance.</w:t>
      </w:r>
    </w:p>
    <w:p>
      <w:pPr>
        <w:numPr>
          <w:ilvl w:val="0"/>
          <w:numId w:val="1022"/>
        </w:numPr>
        <w:pStyle w:val="Compact"/>
      </w:pPr>
      <w:r>
        <w:rPr>
          <w:bCs/>
          <w:b/>
        </w:rPr>
        <w:t xml:space="preserve">Circular Economy Integration:</w:t>
      </w:r>
      <w:r>
        <w:t xml:space="preserve"> </w:t>
      </w:r>
      <w:r>
        <w:t xml:space="preserve">Strengthen the existing take-back and refurbishment programs to maximize product lifespan and material recovery, minimizing the need for new raw materials. Explore modular design for easier repair and upgrades.</w:t>
      </w:r>
    </w:p>
    <w:p>
      <w:pPr>
        <w:numPr>
          <w:ilvl w:val="0"/>
          <w:numId w:val="1022"/>
        </w:numPr>
        <w:pStyle w:val="Compact"/>
      </w:pPr>
      <w:r>
        <w:rPr>
          <w:bCs/>
          <w:b/>
        </w:rPr>
        <w:t xml:space="preserve">Supply Chain Optimization:</w:t>
      </w:r>
      <w:r>
        <w:t xml:space="preserve"> </w:t>
      </w:r>
      <w:r>
        <w:t xml:space="preserve">Continue to optimize transportation logistics, favoring lower-emission modes like sea freight and electric vehicles for last-mile delivery, especially within Europe-focused distribution.</w:t>
      </w:r>
    </w:p>
    <w:p>
      <w:pPr>
        <w:numPr>
          <w:ilvl w:val="0"/>
          <w:numId w:val="1022"/>
        </w:numPr>
        <w:pStyle w:val="Compact"/>
      </w:pPr>
      <w:r>
        <w:rPr>
          <w:bCs/>
          <w:b/>
        </w:rPr>
        <w:t xml:space="preserve">Renewable Energy Expansion:</w:t>
      </w:r>
      <w:r>
        <w:t xml:space="preserve"> </w:t>
      </w:r>
      <w:r>
        <w:t xml:space="preserve">Support the transition to 100% renewable energy in manufacturing facilities and encourage suppliers to do the same.</w:t>
      </w:r>
    </w:p>
    <w:p>
      <w:r>
        <w:pict>
          <v:rect style="width:0;height:1.5pt" o:hralign="center" o:hrstd="t" o:hr="t"/>
        </w:pict>
      </w:r>
    </w:p>
    <w:bookmarkEnd w:id="43"/>
    <w:p>
      <w:pPr>
        <w:pStyle w:val="FirstParagraph"/>
      </w:pPr>
      <w:r>
        <w:t xml:space="preserve">Confidential - Internal Use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Analysis Report for Smart Home Hub</dc:title>
  <dc:creator/>
  <dc:description>Detailed Product Carbon Footprint (PCF) analysis report for Smart Home Hub (ndwqxvklft) by EcoSolutions Inc. (xmldjuhgtk), adhering to GHG Protocol standards and 2026 LSR update.</dc:description>
  <dc:language>en</dc:language>
  <cp:keywords/>
  <dcterms:created xsi:type="dcterms:W3CDTF">2026-07-15T04:00:46Z</dcterms:created>
  <dcterms:modified xsi:type="dcterms:W3CDTF">2026-07-15T04:00:46Z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