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(ttxtlioqiu)</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mart-home-hub-ttxtlioqiu"/>
    <w:p>
      <w:pPr>
        <w:pStyle w:val="Heading2"/>
      </w:pPr>
      <w:r>
        <w:t xml:space="preserve">Product: Smart Home Hub (ttxtlioqiu)</w:t>
      </w:r>
    </w:p>
    <w:p>
      <w:pPr>
        <w:pStyle w:val="FirstParagraph"/>
      </w:pPr>
      <w:r>
        <w:t xml:space="preserve">**Protocol Data (Accounting Standard):** GHG Protocol</w:t>
      </w:r>
    </w:p>
    <w:p>
      <w:pPr>
        <w:pStyle w:val="BodyText"/>
      </w:pPr>
      <w:r>
        <w:t xml:space="preserve">**Name of the Company:** Innovate Global Tech (ihejulrpih)</w:t>
      </w:r>
    </w:p>
    <w:p>
      <w:pPr>
        <w:pStyle w:val="BodyText"/>
      </w:pPr>
      <w:r>
        <w:t xml:space="preserve">**Senior Sustainability Consultant:** Dr. Gyx Wpsnhpt (gyxwpsnhpt)</w:t>
      </w:r>
    </w:p>
    <w:p>
      <w:pPr>
        <w:pStyle w:val="BodyText"/>
      </w:pPr>
      <w:r>
        <w:rPr>
          <w:bCs/>
          <w:b/>
        </w:rPr>
        <w:t xml:space="preserve">Disclaimer:</w:t>
      </w:r>
      <w:r>
        <w:t xml:space="preserve"> </w:t>
      </w:r>
      <w:r>
        <w:t xml:space="preserve">This report is generated based on available data and industry standards, incorporating specific parameters provided by Innovate Global Tech (ihejulrpih). While every effort has been made to ensure accuracy, the results are indicative and subject to the precision and completeness of the input data. This analysis provides a high-level overview and identifies key emission hotspots for further in-depth investigation.</w:t>
      </w:r>
    </w:p>
    <w:bookmarkEnd w:id="20"/>
    <w:bookmarkEnd w:id="21"/>
    <w:p>
      <w:r>
        <w:pict>
          <v:rect style="width:0;height:1.5pt" o:hralign="center" o:hrstd="t" o:hr="t"/>
        </w:pict>
      </w:r>
    </w:p>
    <w:bookmarkStart w:id="45"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\'Smart Home Hub\' (ttxtlioqiu) manufactured by Innovate Global Tech (ihejulrpih). The analysis adheres to the Greenhouse Gas (GHG) Protocol, including the 2026 Land Sector and Removals (LSR) Standard update, and ensures over 95% coverage for Scope 3 emissions. The system boundary for formal reporting is \'factory_gate\', but for comprehensive understanding and compliance with specific requirements, the analysis extends to a cradle-to-grave perspective, incorporating the use phase and end-of-life scenarios. The total Product Carbon Footprint for one functional unit of the Smart Home Hub (ttxtlioqiu) is calculated based on the provided Bill of Materials, transport logistics, production energy mix, product lifespan, energy consumption during use, and end-of-life treatment. The primary objective is to identify significant emission hotspots across the product\'s lifecycle to inform strategic sustainability initiatives.</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was conducted following the five-step methodology as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lifecycle stages and associated processes.</w:t>
      </w:r>
    </w:p>
    <w:p>
      <w:pPr>
        <w:numPr>
          <w:ilvl w:val="0"/>
          <w:numId w:val="1001"/>
        </w:numPr>
        <w:pStyle w:val="Compact"/>
      </w:pPr>
      <w:r>
        <w:rPr>
          <w:bCs/>
          <w:b/>
        </w:rPr>
        <w:t xml:space="preserve">Collect Data:</w:t>
      </w:r>
      <w:r>
        <w:t xml:space="preserve"> </w:t>
      </w:r>
      <w:r>
        <w:t xml:space="preserve">Gather primary and secondary activity data and relevant emission factors.</w:t>
      </w:r>
    </w:p>
    <w:p>
      <w:pPr>
        <w:numPr>
          <w:ilvl w:val="0"/>
          <w:numId w:val="1001"/>
        </w:numPr>
        <w:pStyle w:val="Compact"/>
      </w:pPr>
      <w:r>
        <w:rPr>
          <w:bCs/>
          <w:b/>
        </w:rPr>
        <w:t xml:space="preserve">Calculate Emissions:</w:t>
      </w:r>
      <w:r>
        <w:t xml:space="preserve"> </w:t>
      </w:r>
      <w:r>
        <w:t xml:space="preserve">Quantify greenhouse gas emissions (CO2e) for each lifecycle stage.</w:t>
      </w:r>
    </w:p>
    <w:p>
      <w:pPr>
        <w:numPr>
          <w:ilvl w:val="0"/>
          <w:numId w:val="1001"/>
        </w:numPr>
        <w:pStyle w:val="Compact"/>
      </w:pPr>
      <w:r>
        <w:rPr>
          <w:bCs/>
          <w:b/>
        </w:rPr>
        <w:t xml:space="preserve">Review &amp; Report:</w:t>
      </w:r>
      <w:r>
        <w:t xml:space="preserve"> </w:t>
      </w:r>
      <w:r>
        <w:t xml:space="preserve">Analyze results, identify hotspots, assess reliability, and report findings.</w:t>
      </w:r>
    </w:p>
    <w:bookmarkStart w:id="23" w:name="key-parameters-and-assumptions"/>
    <w:p>
      <w:pPr>
        <w:pStyle w:val="Heading3"/>
      </w:pPr>
      <w:r>
        <w:t xml:space="preserve">2.1. Key Parameters and Assumptions</w:t>
      </w:r>
    </w:p>
    <w:p>
      <w:pPr>
        <w:numPr>
          <w:ilvl w:val="0"/>
          <w:numId w:val="1002"/>
        </w:numPr>
        <w:pStyle w:val="Compact"/>
      </w:pPr>
      <w:r>
        <w:rPr>
          <w:bCs/>
          <w:b/>
        </w:rPr>
        <w:t xml:space="preserve">Product Name:</w:t>
      </w:r>
      <w:r>
        <w:t xml:space="preserve"> </w:t>
      </w:r>
      <w:r>
        <w:t xml:space="preserve">Smart Home Hub (ttxtlioqiu)</w:t>
      </w:r>
    </w:p>
    <w:p>
      <w:pPr>
        <w:numPr>
          <w:ilvl w:val="0"/>
          <w:numId w:val="1002"/>
        </w:numPr>
        <w:pStyle w:val="Compact"/>
      </w:pPr>
      <w:r>
        <w:rPr>
          <w:bCs/>
          <w:b/>
        </w:rPr>
        <w:t xml:space="preserve">Company Name:</w:t>
      </w:r>
      <w:r>
        <w:t xml:space="preserve"> </w:t>
      </w:r>
      <w:r>
        <w:t xml:space="preserve">Innovate Global Tech (ihejulrpih)</w:t>
      </w:r>
    </w:p>
    <w:p>
      <w:pPr>
        <w:numPr>
          <w:ilvl w:val="0"/>
          <w:numId w:val="1002"/>
        </w:numPr>
        <w:pStyle w:val="Compact"/>
      </w:pPr>
      <w:r>
        <w:rPr>
          <w:bCs/>
          <w:b/>
        </w:rPr>
        <w:t xml:space="preserve">Senior Sustainability Consultant:</w:t>
      </w:r>
      <w:r>
        <w:t xml:space="preserve"> </w:t>
      </w:r>
      <w:r>
        <w:t xml:space="preserve">Dr. Gyx Wpsnhpt (gyxwpsnhpt)</w:t>
      </w:r>
    </w:p>
    <w:p>
      <w:pPr>
        <w:numPr>
          <w:ilvl w:val="0"/>
          <w:numId w:val="1002"/>
        </w:numPr>
        <w:pStyle w:val="Compact"/>
      </w:pPr>
      <w:r>
        <w:rPr>
          <w:bCs/>
          <w:b/>
        </w:rPr>
        <w:t xml:space="preserve">Functional Unit:</w:t>
      </w:r>
      <w:r>
        <w:t xml:space="preserve"> </w:t>
      </w:r>
      <w:r>
        <w:t xml:space="preserve">1.0 unit of Smart Home Hub (ttxtlioqiu)</w:t>
      </w:r>
    </w:p>
    <w:p>
      <w:pPr>
        <w:numPr>
          <w:ilvl w:val="0"/>
          <w:numId w:val="1002"/>
        </w:numPr>
        <w:pStyle w:val="Compact"/>
      </w:pPr>
      <w:r>
        <w:rPr>
          <w:bCs/>
          <w:b/>
        </w:rPr>
        <w:t xml:space="preserve">Accounting Standard:</w:t>
      </w:r>
      <w:r>
        <w:t xml:space="preserve"> </w:t>
      </w:r>
      <w:r>
        <w:t xml:space="preserve">GHG Protocol (including 2026 LSR Update for land use and carbon removals).</w:t>
      </w:r>
    </w:p>
    <w:p>
      <w:pPr>
        <w:numPr>
          <w:ilvl w:val="0"/>
          <w:numId w:val="1002"/>
        </w:numPr>
        <w:pStyle w:val="Compact"/>
      </w:pPr>
      <w:r>
        <w:rPr>
          <w:bCs/>
          <w:b/>
        </w:rPr>
        <w:t xml:space="preserve">System Boundary:</w:t>
      </w:r>
      <w:r>
        <w:t xml:space="preserve"> </w:t>
      </w:r>
      <w:r>
        <w:t xml:space="preserve">Officially \'factory_gate\' for primary reporting of direct and indirect emissions from owned/controlled sources and purchased energy. However, for a comprehensive assessment, the analysis extends to include the \'Use Phase\' and \'End-of-Life\' scenarios as per explicit requirements, thus effectively adopting a \'cradle-to-grave\' perspective for impact assessment.</w:t>
      </w:r>
    </w:p>
    <w:p>
      <w:pPr>
        <w:numPr>
          <w:ilvl w:val="0"/>
          <w:numId w:val="1002"/>
        </w:numPr>
        <w:pStyle w:val="Compact"/>
      </w:pPr>
      <w:r>
        <w:rPr>
          <w:bCs/>
          <w:b/>
        </w:rPr>
        <w:t xml:space="preserve">Geographic Scope:</w:t>
      </w:r>
      <w:r>
        <w:t xml:space="preserve"> </w:t>
      </w:r>
      <w:r>
        <w:t xml:space="preserve">Final Production Country: China. Supply Chain Focus: Europe Focused (for some raw material origins and product distribution).</w:t>
      </w:r>
    </w:p>
    <w:p>
      <w:pPr>
        <w:numPr>
          <w:ilvl w:val="0"/>
          <w:numId w:val="1002"/>
        </w:numPr>
        <w:pStyle w:val="Compact"/>
      </w:pPr>
      <w:r>
        <w:rPr>
          <w:bCs/>
          <w:b/>
        </w:rPr>
        <w:t xml:space="preserve">Scope 3 Coverage:</w:t>
      </w:r>
      <w:r>
        <w:t xml:space="preserve"> </w:t>
      </w:r>
      <w:r>
        <w:t xml:space="preserve">Efforts made to achieve at least 95% coverage as per 2026 GHG Protocol requirements.</w:t>
      </w:r>
    </w:p>
    <w:p>
      <w:pPr>
        <w:numPr>
          <w:ilvl w:val="0"/>
          <w:numId w:val="1002"/>
        </w:numPr>
        <w:pStyle w:val="Compact"/>
      </w:pPr>
      <w:r>
        <w:rPr>
          <w:bCs/>
          <w:b/>
        </w:rPr>
        <w:t xml:space="preserve">Allocation:</w:t>
      </w:r>
      <w:r>
        <w:t xml:space="preserve"> </w:t>
      </w:r>
      <w:r>
        <w:t xml:space="preserve">Mass-based allocation applied where joint products or by-products occur, with a focus on attributing impacts proportionally to the product\'s mass.</w:t>
      </w:r>
    </w:p>
    <w:p>
      <w:r>
        <w:pict>
          <v:rect style="width:0;height:1.5pt" o:hralign="center" o:hrstd="t" o:hr="t"/>
        </w:pict>
      </w:r>
    </w:p>
    <w:bookmarkEnd w:id="23"/>
    <w:bookmarkEnd w:id="24"/>
    <w:bookmarkStart w:id="30" w:name="Xe53ce5ff818de4e0425362e3274525332416797"/>
    <w:p>
      <w:pPr>
        <w:pStyle w:val="Heading2"/>
      </w:pPr>
      <w:r>
        <w:t xml:space="preserve">3. Lifecycle Mapping (LCI Inventory Stages) and Data Collection</w:t>
      </w:r>
    </w:p>
    <w:p>
      <w:pPr>
        <w:pStyle w:val="FirstParagraph"/>
      </w:pPr>
      <w:r>
        <w:t xml:space="preserve">The lifecycle of the Smart Home Hub (ttxtlioqiu) has been mapped to identify all relevant stages contributing to its carbon footprint. Data collection involved utilizing both primary data provided by Innovate Global Tech (ihejulrpih) and secondary, industry-standard emission factors (e.g., from Ecoinvent/DEFRA for general processes, energy mixes, and transportation).</w:t>
      </w:r>
    </w:p>
    <w:bookmarkStart w:id="25" w:name="X03009c137a43313aa2402a234267084e196d2e6"/>
    <w:p>
      <w:pPr>
        <w:pStyle w:val="Heading3"/>
      </w:pPr>
      <w:r>
        <w:t xml:space="preserve">3.1. Detailed Bill of Materials (BOM) - Upstream Emissions (Scope 3, Category 1)</w:t>
      </w:r>
    </w:p>
    <w:p>
      <w:pPr>
        <w:pStyle w:val="FirstParagraph"/>
      </w:pPr>
      <w:r>
        <w:t xml:space="preserve">The following detailed Bill of Materials (BOM) (iqqjminu) was used for high-accuracy material impact calculation. The \'Total Carbon\' values represent the pre-calculated emissions associated with the production of the specified quantity of each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Printed Circuit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Power Supply Unit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Metal Connectors &amp;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User Manual &amp; Packaging (Cardboard)</w:t>
            </w:r>
          </w:p>
        </w:tc>
        <w:tc>
          <w:tcPr/>
          <w:p>
            <w:pPr>
              <w:pStyle w:val="Compact"/>
              <w:jc w:val="left"/>
            </w:pPr>
            <w:r>
              <w:t xml:space="preserve">Paper/Packaging</w:t>
            </w:r>
          </w:p>
        </w:tc>
        <w:tc>
          <w:tcPr/>
          <w:p>
            <w:pPr>
              <w:pStyle w:val="Compact"/>
              <w:jc w:val="left"/>
            </w:pPr>
            <w:r>
              <w:t xml:space="preserve">Printing/Forming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Internal Wiring &amp; Cables</w:t>
            </w:r>
          </w:p>
        </w:tc>
        <w:tc>
          <w:tcPr/>
          <w:p>
            <w:pPr>
              <w:pStyle w:val="Compact"/>
              <w:jc w:val="left"/>
            </w:pPr>
            <w:r>
              <w:t xml:space="preserve">Plastics/Metals</w:t>
            </w:r>
          </w:p>
        </w:tc>
        <w:tc>
          <w:tcPr/>
          <w:p>
            <w:pPr>
              <w:pStyle w:val="Compact"/>
              <w:jc w:val="left"/>
            </w:pPr>
            <w:r>
              <w:t xml:space="preserve">Extrusion/Assembly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w:t>
            </w:r>
          </w:p>
        </w:tc>
        <w:tc>
          <w:tcPr/>
          <w:p>
            <w:pPr>
              <w:pStyle w:val="Compact"/>
              <w:jc w:val="left"/>
            </w:pPr>
            <w:r>
              <w:t xml:space="preserve">0.11</w:t>
            </w:r>
          </w:p>
        </w:tc>
      </w:tr>
      <w:tr>
        <w:tc>
          <w:tcPr>
            <w:gridSpan w:val="7"/>
          </w:tcPr>
          <w:p>
            <w:pPr>
              <w:pStyle w:val="Compact"/>
              <w:jc w:val="right"/>
            </w:pPr>
            <w:r>
              <w:rPr>
                <w:bCs/>
                <w:b/>
              </w:rPr>
              <w:t xml:space="preserve">Subtotal Material Emissions (Scope 3, Category 1)</w:t>
            </w:r>
          </w:p>
        </w:tc>
        <w:tc>
          <w:tcPr/>
          <w:p>
            <w:pPr>
              <w:pStyle w:val="Compact"/>
              <w:jc w:val="left"/>
            </w:pPr>
            <w:r>
              <w:rPr>
                <w:bCs/>
                <w:b/>
              </w:rPr>
              <w:t xml:space="preserve">3.31</w:t>
            </w:r>
          </w:p>
        </w:tc>
      </w:tr>
    </w:tbl>
    <w:bookmarkEnd w:id="25"/>
    <w:bookmarkStart w:id="26" w:name="Xba2e8311dc40623ade4fb152c0f2119798288e4"/>
    <w:p>
      <w:pPr>
        <w:pStyle w:val="Heading3"/>
      </w:pPr>
      <w:r>
        <w:t xml:space="preserve">3.2. Manufacturing &amp; Production Energy (Scope 1 &amp; 2)</w:t>
      </w:r>
    </w:p>
    <w:p>
      <w:pPr>
        <w:numPr>
          <w:ilvl w:val="0"/>
          <w:numId w:val="1003"/>
        </w:numPr>
        <w:pStyle w:val="Compact"/>
      </w:pPr>
      <w:r>
        <w:rPr>
          <w:bCs/>
          <w:b/>
        </w:rPr>
        <w:t xml:space="preserve">Energy Intensity (kWh/unit):</w:t>
      </w:r>
      <w:r>
        <w:t xml:space="preserve"> </w:t>
      </w:r>
      <w:r>
        <w:t xml:space="preserve">purkqkufnk (Assumed: 5 kWh/unit)</w:t>
      </w:r>
    </w:p>
    <w:p>
      <w:pPr>
        <w:numPr>
          <w:ilvl w:val="0"/>
          <w:numId w:val="1003"/>
        </w:numPr>
        <w:pStyle w:val="Compact"/>
      </w:pPr>
      <w:r>
        <w:rPr>
          <w:bCs/>
          <w:b/>
        </w:rPr>
        <w:t xml:space="preserve">Renewable Energy Usage (serrqgfwel):</w:t>
      </w:r>
      <w:r>
        <w:t xml:space="preserve"> </w:t>
      </w:r>
      <w:r>
        <w:t xml:space="preserve">30%</w:t>
      </w:r>
    </w:p>
    <w:p>
      <w:pPr>
        <w:numPr>
          <w:ilvl w:val="0"/>
          <w:numId w:val="1003"/>
        </w:numPr>
        <w:pStyle w:val="Compact"/>
      </w:pPr>
      <w:r>
        <w:rPr>
          <w:bCs/>
          <w:b/>
        </w:rPr>
        <w:t xml:space="preserve">Non-Renewable Energy Usage:</w:t>
      </w:r>
      <w:r>
        <w:t xml:space="preserve"> </w:t>
      </w:r>
      <w:r>
        <w:t xml:space="preserve">70%</w:t>
      </w:r>
    </w:p>
    <w:p>
      <w:pPr>
        <w:numPr>
          <w:ilvl w:val="0"/>
          <w:numId w:val="1003"/>
        </w:numPr>
        <w:pStyle w:val="Compact"/>
      </w:pPr>
      <w:r>
        <w:rPr>
          <w:bCs/>
          <w:b/>
        </w:rPr>
        <w:t xml:space="preserve">Electricity Grid Mix (China average):</w:t>
      </w:r>
      <w:r>
        <w:t xml:space="preserve"> </w:t>
      </w:r>
      <w:r>
        <w:t xml:space="preserve">0.6 kgCO2e/kWh (industry standard approximation)</w:t>
      </w:r>
    </w:p>
    <w:p>
      <w:pPr>
        <w:numPr>
          <w:ilvl w:val="0"/>
          <w:numId w:val="1003"/>
        </w:numPr>
        <w:pStyle w:val="Compact"/>
      </w:pPr>
      <w:r>
        <w:rPr>
          <w:bCs/>
          <w:b/>
        </w:rPr>
        <w:t xml:space="preserve">Direct Fuel Consumption (Scope 1):</w:t>
      </w:r>
      <w:r>
        <w:t xml:space="preserve"> </w:t>
      </w:r>
      <w:r>
        <w:t xml:space="preserve">Assumed negligible for direct manufacturing of this product, primarily covered by electricity. If specific on-site fuel consumption data were available, it would be included here.</w:t>
      </w:r>
    </w:p>
    <w:bookmarkEnd w:id="26"/>
    <w:bookmarkStart w:id="27" w:name="transport-logistics-scope-3-category-4-9"/>
    <w:p>
      <w:pPr>
        <w:pStyle w:val="Heading3"/>
      </w:pPr>
      <w:r>
        <w:t xml:space="preserve">3.3. Transport Logistics (Scope 3, Category 4 &amp; 9)</w:t>
      </w:r>
    </w:p>
    <w:p>
      <w:pPr>
        <w:pStyle w:val="FirstParagraph"/>
      </w:pPr>
      <w:r>
        <w:t xml:space="preserve">The specific logistics data incorporated into the supply chain analysis is as follows:</w:t>
      </w:r>
    </w:p>
    <w:p>
      <w:pPr>
        <w:numPr>
          <w:ilvl w:val="0"/>
          <w:numId w:val="1004"/>
        </w:numPr>
        <w:pStyle w:val="Compact"/>
      </w:pPr>
      <w:r>
        <w:rPr>
          <w:bCs/>
          <w:b/>
        </w:rPr>
        <w:t xml:space="preserve">Transport Mode (Select Mode):</w:t>
      </w:r>
      <w:r>
        <w:t xml:space="preserve"> </w:t>
      </w:r>
      <w:r>
        <w:t xml:space="preserve">A multimodal approach is assumed given the geographic scope.</w:t>
      </w:r>
    </w:p>
    <w:p>
      <w:pPr>
        <w:numPr>
          <w:ilvl w:val="1"/>
          <w:numId w:val="1005"/>
        </w:numPr>
        <w:pStyle w:val="Compact"/>
      </w:pPr>
      <w:r>
        <w:rPr>
          <w:bCs/>
          <w:b/>
        </w:rPr>
        <w:t xml:space="preserve">Raw Materials &amp; Components (Asia to China Factory):</w:t>
      </w:r>
      <w:r>
        <w:t xml:space="preserve"> </w:t>
      </w:r>
      <w:r>
        <w:t xml:space="preserve">Ocean Freight (average vessel)</w:t>
      </w:r>
    </w:p>
    <w:p>
      <w:pPr>
        <w:numPr>
          <w:ilvl w:val="1"/>
          <w:numId w:val="1005"/>
        </w:numPr>
        <w:pStyle w:val="Compact"/>
      </w:pPr>
      <w:r>
        <w:rPr>
          <w:bCs/>
          <w:b/>
        </w:rPr>
        <w:t xml:space="preserve">Finished Product (China Factory to Europe Distribution Hub):</w:t>
      </w:r>
      <w:r>
        <w:t xml:space="preserve"> </w:t>
      </w:r>
      <w:r>
        <w:t xml:space="preserve">Ocean Freight (average vessel)</w:t>
      </w:r>
    </w:p>
    <w:p>
      <w:pPr>
        <w:numPr>
          <w:ilvl w:val="1"/>
          <w:numId w:val="1005"/>
        </w:numPr>
        <w:pStyle w:val="Compact"/>
      </w:pPr>
      <w:r>
        <w:rPr>
          <w:bCs/>
          <w:b/>
        </w:rPr>
        <w:t xml:space="preserve">Local Distribution (within China and Europe):</w:t>
      </w:r>
      <w:r>
        <w:t xml:space="preserve"> </w:t>
      </w:r>
      <w:r>
        <w:t xml:space="preserve">Road Freight (Heavy Goods Vehicle - HGV)</w:t>
      </w:r>
    </w:p>
    <w:p>
      <w:pPr>
        <w:numPr>
          <w:ilvl w:val="0"/>
          <w:numId w:val="1004"/>
        </w:numPr>
        <w:pStyle w:val="Compact"/>
      </w:pPr>
      <w:r>
        <w:rPr>
          <w:bCs/>
          <w:b/>
        </w:rPr>
        <w:t xml:space="preserve">Transport Distance (sijppdnzfr):</w:t>
      </w:r>
    </w:p>
    <w:p>
      <w:pPr>
        <w:numPr>
          <w:ilvl w:val="1"/>
          <w:numId w:val="1006"/>
        </w:numPr>
        <w:pStyle w:val="Compact"/>
      </w:pPr>
      <w:r>
        <w:t xml:space="preserve">Raw Materials (Ocean): Assumed 5,000 km</w:t>
      </w:r>
    </w:p>
    <w:p>
      <w:pPr>
        <w:numPr>
          <w:ilvl w:val="1"/>
          <w:numId w:val="1006"/>
        </w:numPr>
        <w:pStyle w:val="Compact"/>
      </w:pPr>
      <w:r>
        <w:t xml:space="preserve">Finished Product (Ocean): Assumed 12,000 km</w:t>
      </w:r>
    </w:p>
    <w:p>
      <w:pPr>
        <w:numPr>
          <w:ilvl w:val="1"/>
          <w:numId w:val="1006"/>
        </w:numPr>
        <w:pStyle w:val="Compact"/>
      </w:pPr>
      <w:r>
        <w:t xml:space="preserve">Local Distribution (Road): Assumed 500 km (average for both China internal &amp; Europe primary distribution)</w:t>
      </w:r>
    </w:p>
    <w:p>
      <w:pPr>
        <w:numPr>
          <w:ilvl w:val="0"/>
          <w:numId w:val="1004"/>
        </w:numPr>
        <w:pStyle w:val="Compact"/>
      </w:pPr>
      <w:r>
        <w:rPr>
          <w:bCs/>
          <w:b/>
        </w:rPr>
        <w:t xml:space="preserve">Last-Mile Delivery Channel (Delivery Type):</w:t>
      </w:r>
      <w:r>
        <w:t xml:space="preserve"> </w:t>
      </w:r>
      <w:r>
        <w:t xml:space="preserve">Road Freight (Light Commercial Vehicle - LCV).</w:t>
      </w:r>
    </w:p>
    <w:p>
      <w:pPr>
        <w:numPr>
          <w:ilvl w:val="1"/>
          <w:numId w:val="1007"/>
        </w:numPr>
        <w:pStyle w:val="Compact"/>
      </w:pPr>
      <w:r>
        <w:t xml:space="preserve">Distance: Assumed 50 km (average to end customer)</w:t>
      </w:r>
    </w:p>
    <w:p>
      <w:pPr>
        <w:pStyle w:val="FirstParagraph"/>
      </w:pPr>
      <w:r>
        <w:rPr>
          <w:bCs/>
          <w:b/>
        </w:rPr>
        <w:t xml:space="preserve">Assumed Transport Emission Factors (tkm - tonne-kilometer):</w:t>
      </w:r>
    </w:p>
    <w:p>
      <w:pPr>
        <w:numPr>
          <w:ilvl w:val="0"/>
          <w:numId w:val="1008"/>
        </w:numPr>
        <w:pStyle w:val="Compact"/>
      </w:pPr>
      <w:r>
        <w:t xml:space="preserve">Ocean Freight: 0.01 kgCO2e/tkm</w:t>
      </w:r>
    </w:p>
    <w:p>
      <w:pPr>
        <w:numPr>
          <w:ilvl w:val="0"/>
          <w:numId w:val="1008"/>
        </w:numPr>
        <w:pStyle w:val="Compact"/>
      </w:pPr>
      <w:r>
        <w:t xml:space="preserve">Road Freight (HGV): 0.1 kgCO2e/tkm</w:t>
      </w:r>
    </w:p>
    <w:p>
      <w:pPr>
        <w:numPr>
          <w:ilvl w:val="0"/>
          <w:numId w:val="1008"/>
        </w:numPr>
        <w:pStyle w:val="Compact"/>
      </w:pPr>
      <w:r>
        <w:t xml:space="preserve">Road Freight (LCV - Last Mile): 0.2 kgCO2e/tkm</w:t>
      </w:r>
    </w:p>
    <w:bookmarkEnd w:id="27"/>
    <w:bookmarkStart w:id="28" w:name="use-phase-scope-3-category-11"/>
    <w:p>
      <w:pPr>
        <w:pStyle w:val="Heading3"/>
      </w:pPr>
      <w:r>
        <w:t xml:space="preserve">3.4. Use Phase (Scope 3, Category 11)</w:t>
      </w:r>
    </w:p>
    <w:p>
      <w:pPr>
        <w:pStyle w:val="FirstParagraph"/>
      </w:pPr>
      <w:r>
        <w:t xml:space="preserve">The use phase calculation is expanded using the specific durability and consumption data:</w:t>
      </w:r>
    </w:p>
    <w:p>
      <w:pPr>
        <w:numPr>
          <w:ilvl w:val="0"/>
          <w:numId w:val="1009"/>
        </w:numPr>
        <w:pStyle w:val="Compact"/>
      </w:pPr>
      <w:r>
        <w:rPr>
          <w:bCs/>
          <w:b/>
        </w:rPr>
        <w:t xml:space="preserve">Product Lifespan (jgyjtomzsh):</w:t>
      </w:r>
      <w:r>
        <w:t xml:space="preserve"> </w:t>
      </w:r>
      <w:r>
        <w:t xml:space="preserve">5 years</w:t>
      </w:r>
    </w:p>
    <w:p>
      <w:pPr>
        <w:numPr>
          <w:ilvl w:val="0"/>
          <w:numId w:val="1009"/>
        </w:numPr>
        <w:pStyle w:val="Compact"/>
      </w:pPr>
      <w:r>
        <w:rPr>
          <w:bCs/>
          <w:b/>
        </w:rPr>
        <w:t xml:space="preserve">Energy Consumption in Use (lfwhpwvgni):</w:t>
      </w:r>
      <w:r>
        <w:t xml:space="preserve"> </w:t>
      </w:r>
      <w:r>
        <w:t xml:space="preserve">10 kWh/year (Total over lifespan: 50 kWh)</w:t>
      </w:r>
    </w:p>
    <w:p>
      <w:pPr>
        <w:numPr>
          <w:ilvl w:val="0"/>
          <w:numId w:val="1009"/>
        </w:numPr>
        <w:pStyle w:val="Compact"/>
      </w:pPr>
      <w:r>
        <w:rPr>
          <w:bCs/>
          <w:b/>
        </w:rPr>
        <w:t xml:space="preserve">Electricity Grid Mix (Europe average):</w:t>
      </w:r>
      <w:r>
        <w:t xml:space="preserve"> </w:t>
      </w:r>
      <w:r>
        <w:t xml:space="preserve">0.25 kgCO2e/kWh (industry standard approximation, representing typical end-user location)</w:t>
      </w:r>
    </w:p>
    <w:bookmarkEnd w:id="28"/>
    <w:bookmarkStart w:id="29" w:name="X3261202975bfccb1283f2bd5fabef2dfdbe9c90"/>
    <w:p>
      <w:pPr>
        <w:pStyle w:val="Heading3"/>
      </w:pPr>
      <w:r>
        <w:t xml:space="preserve">3.5. End-of-Life (EoL) Scenarios (Scope 3, Category 12)</w:t>
      </w:r>
    </w:p>
    <w:p>
      <w:pPr>
        <w:pStyle w:val="FirstParagraph"/>
      </w:pPr>
      <w:r>
        <w:t xml:space="preserve">The End-of-Life scenarios reflect circular economy impacts:</w:t>
      </w:r>
    </w:p>
    <w:p>
      <w:pPr>
        <w:numPr>
          <w:ilvl w:val="0"/>
          <w:numId w:val="1010"/>
        </w:numPr>
        <w:pStyle w:val="Compact"/>
      </w:pPr>
      <w:r>
        <w:rPr>
          <w:bCs/>
          <w:b/>
        </w:rPr>
        <w:t xml:space="preserve">Recyclability Percentage (sqqpezlmzh):</w:t>
      </w:r>
      <w:r>
        <w:t xml:space="preserve"> </w:t>
      </w:r>
      <w:r>
        <w:t xml:space="preserve">60%</w:t>
      </w:r>
    </w:p>
    <w:p>
      <w:pPr>
        <w:numPr>
          <w:ilvl w:val="0"/>
          <w:numId w:val="1010"/>
        </w:numPr>
        <w:pStyle w:val="Compact"/>
      </w:pPr>
      <w:r>
        <w:rPr>
          <w:bCs/>
          <w:b/>
        </w:rPr>
        <w:t xml:space="preserve">Circular/Take-back Programs (owoijxhvqy):</w:t>
      </w:r>
      <w:r>
        <w:t xml:space="preserve"> </w:t>
      </w:r>
      <w:r>
        <w:t xml:space="preserve">Yes, via certified partners. This implies a managed EoL process where recyclable materials are recovered, and residual waste is appropriately treated.</w:t>
      </w:r>
    </w:p>
    <w:p>
      <w:pPr>
        <w:pStyle w:val="FirstParagraph"/>
      </w:pPr>
      <w:r>
        <w:rPr>
          <w:bCs/>
          <w:b/>
        </w:rPr>
        <w:t xml:space="preserve">Assumed End-of-Life Factors:</w:t>
      </w:r>
    </w:p>
    <w:p>
      <w:pPr>
        <w:numPr>
          <w:ilvl w:val="0"/>
          <w:numId w:val="1011"/>
        </w:numPr>
        <w:pStyle w:val="Compact"/>
      </w:pPr>
      <w:r>
        <w:t xml:space="preserve">Recycling Credit: -1.5 kgCO2e/kg (average for plastics/metals, representing avoided virgin material production)</w:t>
      </w:r>
    </w:p>
    <w:p>
      <w:pPr>
        <w:numPr>
          <w:ilvl w:val="0"/>
          <w:numId w:val="1011"/>
        </w:numPr>
        <w:pStyle w:val="Compact"/>
      </w:pPr>
      <w:r>
        <w:t xml:space="preserve">Residual Waste Treatment (Incineration/Landfill for 40% non-recycled): 1.5 kgCO2e/kg (net emissions after energy recovery)</w:t>
      </w:r>
    </w:p>
    <w:p>
      <w:r>
        <w:pict>
          <v:rect style="width:0;height:1.5pt" o:hralign="center" o:hrstd="t" o:hr="t"/>
        </w:pict>
      </w:r>
    </w:p>
    <w:bookmarkEnd w:id="29"/>
    <w:bookmarkEnd w:id="30"/>
    <w:bookmarkStart w:id="40"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Protocol\'s Scope 1, 2, and 3 definitions. The 2026 LSR Standard is considered for any potential land use impacts or removals, though for this specific product, primary impacts are from materials, energy, and transport.</w:t>
      </w:r>
    </w:p>
    <w:bookmarkStart w:id="31" w:name="scope-1-emissions-direct-emissions"/>
    <w:p>
      <w:pPr>
        <w:pStyle w:val="Heading3"/>
      </w:pPr>
      <w:r>
        <w:t xml:space="preserve">4.1. Scope 1 Emissions (Direct Emissions)</w:t>
      </w:r>
    </w:p>
    <w:p>
      <w:pPr>
        <w:pStyle w:val="FirstParagraph"/>
      </w:pPr>
      <w:r>
        <w:t xml:space="preserve">Direct emissions from sources owned or controlled by Innovate Global Tech (ihejulrpih).</w:t>
      </w:r>
    </w:p>
    <w:p>
      <w:pPr>
        <w:numPr>
          <w:ilvl w:val="0"/>
          <w:numId w:val="1012"/>
        </w:numPr>
        <w:pStyle w:val="Compact"/>
      </w:pPr>
      <w:r>
        <w:rPr>
          <w:bCs/>
          <w:b/>
        </w:rPr>
        <w:t xml:space="preserve">Manufacturing (on-site fuel combustion):</w:t>
      </w:r>
      <w:r>
        <w:t xml:space="preserve"> </w:t>
      </w:r>
      <w:r>
        <w:t xml:space="preserve">Assumed negligible based on product type; primarily electricity-driven production.</w:t>
      </w:r>
    </w:p>
    <w:p>
      <w:pPr>
        <w:numPr>
          <w:ilvl w:val="0"/>
          <w:numId w:val="1012"/>
        </w:numPr>
        <w:pStyle w:val="Compact"/>
      </w:pPr>
      <w:r>
        <w:rPr>
          <w:bCs/>
          <w:b/>
        </w:rPr>
        <w:t xml:space="preserve">Total Scope 1 Emissions:</w:t>
      </w:r>
      <w:r>
        <w:t xml:space="preserve"> </w:t>
      </w:r>
      <w:r>
        <w:t xml:space="preserve">0.00 kgCO2e</w:t>
      </w:r>
    </w:p>
    <w:bookmarkEnd w:id="31"/>
    <w:bookmarkStart w:id="32" w:name="scope-2-emissions-purchased-energy"/>
    <w:p>
      <w:pPr>
        <w:pStyle w:val="Heading3"/>
      </w:pPr>
      <w:r>
        <w:t xml:space="preserve">4.2. Scope 2 Emissions (Purchased Energy)</w:t>
      </w:r>
    </w:p>
    <w:p>
      <w:pPr>
        <w:pStyle w:val="FirstParagraph"/>
      </w:pPr>
      <w:r>
        <w:t xml:space="preserve">Indirect emissions from the generation of purchased electricity, heat, or steam consumed by Innovate Global Tech (ihejulrpih).</w:t>
      </w:r>
    </w:p>
    <w:p>
      <w:pPr>
        <w:numPr>
          <w:ilvl w:val="0"/>
          <w:numId w:val="1013"/>
        </w:numPr>
        <w:pStyle w:val="Compact"/>
      </w:pPr>
      <w:r>
        <w:rPr>
          <w:bCs/>
          <w:b/>
        </w:rPr>
        <w:t xml:space="preserve">Total Production Energy:</w:t>
      </w:r>
      <w:r>
        <w:t xml:space="preserve"> </w:t>
      </w:r>
      <w:r>
        <w:t xml:space="preserve">5 kWh/unit (purkqkufnk)</w:t>
      </w:r>
    </w:p>
    <w:p>
      <w:pPr>
        <w:numPr>
          <w:ilvl w:val="0"/>
          <w:numId w:val="1013"/>
        </w:numPr>
        <w:pStyle w:val="Compact"/>
      </w:pPr>
      <w:r>
        <w:rPr>
          <w:bCs/>
          <w:b/>
        </w:rPr>
        <w:t xml:space="preserve">Renewable Energy Contribution:</w:t>
      </w:r>
      <w:r>
        <w:t xml:space="preserve"> </w:t>
      </w:r>
      <w:r>
        <w:t xml:space="preserve">30% of 5 kWh = 1.5 kWh (serrqgfwel) → 0 kgCO2e (assuming zero-emission renewable sources)</w:t>
      </w:r>
    </w:p>
    <w:p>
      <w:pPr>
        <w:numPr>
          <w:ilvl w:val="0"/>
          <w:numId w:val="1013"/>
        </w:numPr>
        <w:pStyle w:val="Compact"/>
      </w:pPr>
      <w:r>
        <w:rPr>
          <w:bCs/>
          <w:b/>
        </w:rPr>
        <w:t xml:space="preserve">Non-Renewable Energy Contribution:</w:t>
      </w:r>
      <w:r>
        <w:t xml:space="preserve"> </w:t>
      </w:r>
      <w:r>
        <w:t xml:space="preserve">70% of 5 kWh = 3.5 kWh</w:t>
      </w:r>
    </w:p>
    <w:p>
      <w:pPr>
        <w:numPr>
          <w:ilvl w:val="0"/>
          <w:numId w:val="1013"/>
        </w:numPr>
        <w:pStyle w:val="Compact"/>
      </w:pPr>
      <w:r>
        <w:rPr>
          <w:bCs/>
          <w:b/>
        </w:rPr>
        <w:t xml:space="preserve">Emissions from Non-Renewable Energy:</w:t>
      </w:r>
      <w:r>
        <w:t xml:space="preserve"> </w:t>
      </w:r>
      <w:r>
        <w:t xml:space="preserve">3.5 kWh * 0.6 kgCO2e/kWh (China grid mix) = 2.10 kgCO2e</w:t>
      </w:r>
    </w:p>
    <w:p>
      <w:pPr>
        <w:numPr>
          <w:ilvl w:val="0"/>
          <w:numId w:val="1013"/>
        </w:numPr>
        <w:pStyle w:val="Compact"/>
      </w:pPr>
      <w:r>
        <w:rPr>
          <w:bCs/>
          <w:b/>
        </w:rPr>
        <w:t xml:space="preserve">Total Scope 2 Emissions:</w:t>
      </w:r>
      <w:r>
        <w:t xml:space="preserve"> </w:t>
      </w:r>
      <w:r>
        <w:t xml:space="preserve">2.10 kgCO2e</w:t>
      </w:r>
    </w:p>
    <w:bookmarkEnd w:id="32"/>
    <w:bookmarkStart w:id="38" w:name="scope-3-emissions-value-chain-emissions"/>
    <w:p>
      <w:pPr>
        <w:pStyle w:val="Heading3"/>
      </w:pPr>
      <w:r>
        <w:t xml:space="preserve">4.3. Scope 3 Emissions (Value Chain Emissions)</w:t>
      </w:r>
    </w:p>
    <w:p>
      <w:pPr>
        <w:pStyle w:val="FirstParagraph"/>
      </w:pPr>
      <w:r>
        <w:t xml:space="preserve">All other indirect emissions that occur in the value chain of Innovate Global Tech (ihejulrpih).</w:t>
      </w:r>
    </w:p>
    <w:bookmarkStart w:id="33" w:name="Xab9729a0caae076ca89f2f71668734f92723cf2"/>
    <w:p>
      <w:pPr>
        <w:pStyle w:val="Heading4"/>
      </w:pPr>
      <w:r>
        <w:t xml:space="preserve">4.3.1. Category 1: Purchased Goods and Services (Materials)</w:t>
      </w:r>
    </w:p>
    <w:p>
      <w:pPr>
        <w:pStyle w:val="FirstParagraph"/>
      </w:pPr>
      <w:r>
        <w:t xml:space="preserve">Based on the BOM data (iqqjminu):</w:t>
      </w:r>
    </w:p>
    <w:p>
      <w:pPr>
        <w:numPr>
          <w:ilvl w:val="0"/>
          <w:numId w:val="1014"/>
        </w:numPr>
        <w:pStyle w:val="Compact"/>
      </w:pPr>
      <w:r>
        <w:t xml:space="preserve">Plastic Casing: 0.75 kgCO2e</w:t>
      </w:r>
    </w:p>
    <w:p>
      <w:pPr>
        <w:numPr>
          <w:ilvl w:val="0"/>
          <w:numId w:val="1014"/>
        </w:numPr>
        <w:pStyle w:val="Compact"/>
      </w:pPr>
      <w:r>
        <w:t xml:space="preserve">PCB with Components: 1.25 kgCO2e</w:t>
      </w:r>
    </w:p>
    <w:p>
      <w:pPr>
        <w:numPr>
          <w:ilvl w:val="0"/>
          <w:numId w:val="1014"/>
        </w:numPr>
        <w:pStyle w:val="Compact"/>
      </w:pPr>
      <w:r>
        <w:t xml:space="preserve">Power Supply Unit: 1.00 kgCO2e</w:t>
      </w:r>
    </w:p>
    <w:p>
      <w:pPr>
        <w:numPr>
          <w:ilvl w:val="0"/>
          <w:numId w:val="1014"/>
        </w:numPr>
        <w:pStyle w:val="Compact"/>
      </w:pPr>
      <w:r>
        <w:t xml:space="preserve">Metal Connectors &amp; Screws: 0.08 kgCO2e</w:t>
      </w:r>
    </w:p>
    <w:p>
      <w:pPr>
        <w:numPr>
          <w:ilvl w:val="0"/>
          <w:numId w:val="1014"/>
        </w:numPr>
        <w:pStyle w:val="Compact"/>
      </w:pPr>
      <w:r>
        <w:t xml:space="preserve">User Manual &amp; Packaging: 0.12 kgCO2e</w:t>
      </w:r>
    </w:p>
    <w:p>
      <w:pPr>
        <w:numPr>
          <w:ilvl w:val="0"/>
          <w:numId w:val="1014"/>
        </w:numPr>
        <w:pStyle w:val="Compact"/>
      </w:pPr>
      <w:r>
        <w:t xml:space="preserve">Internal Wiring &amp; Cables: 0.11 kgCO2e</w:t>
      </w:r>
    </w:p>
    <w:p>
      <w:pPr>
        <w:pStyle w:val="FirstParagraph"/>
      </w:pPr>
      <w:r>
        <w:rPr>
          <w:bCs/>
          <w:b/>
        </w:rPr>
        <w:t xml:space="preserve">Subtotal Category 1 Emissions:</w:t>
      </w:r>
      <w:r>
        <w:t xml:space="preserve"> </w:t>
      </w:r>
      <w:r>
        <w:t xml:space="preserve">3.31 kgCO2e</w:t>
      </w:r>
    </w:p>
    <w:bookmarkEnd w:id="33"/>
    <w:bookmarkStart w:id="34" w:name="X6669a43143349c25ec93e775eebde43de53a73c"/>
    <w:p>
      <w:pPr>
        <w:pStyle w:val="Heading4"/>
      </w:pPr>
      <w:r>
        <w:t xml:space="preserve">4.3.2. Category 4: Upstream Transportation and Distribution</w:t>
      </w:r>
    </w:p>
    <w:p>
      <w:pPr>
        <w:pStyle w:val="FirstParagraph"/>
      </w:pPr>
      <w:r>
        <w:t xml:space="preserve">Transportation of raw materials and components to the China factory.</w:t>
      </w:r>
    </w:p>
    <w:p>
      <w:pPr>
        <w:numPr>
          <w:ilvl w:val="0"/>
          <w:numId w:val="1015"/>
        </w:numPr>
        <w:pStyle w:val="Compact"/>
      </w:pPr>
      <w:r>
        <w:rPr>
          <w:bCs/>
          <w:b/>
        </w:rPr>
        <w:t xml:space="preserve">Raw Materials (Ocean Freight):</w:t>
      </w:r>
    </w:p>
    <w:p>
      <w:pPr>
        <w:numPr>
          <w:ilvl w:val="1"/>
          <w:numId w:val="1016"/>
        </w:numPr>
        <w:pStyle w:val="Compact"/>
      </w:pPr>
      <w:r>
        <w:t xml:space="preserve">Total material mass (approx.): 0.3 + 0.05 + 0.1 + 0.02 + 0.15 + 0.03 = 0.65 kg/unit</w:t>
      </w:r>
    </w:p>
    <w:p>
      <w:pPr>
        <w:numPr>
          <w:ilvl w:val="1"/>
          <w:numId w:val="1016"/>
        </w:numPr>
        <w:pStyle w:val="Compact"/>
      </w:pPr>
      <w:r>
        <w:t xml:space="preserve">Assuming an average mass of components arriving via ocean: 0.5 kg/unit</w:t>
      </w:r>
    </w:p>
    <w:p>
      <w:pPr>
        <w:numPr>
          <w:ilvl w:val="1"/>
          <w:numId w:val="1016"/>
        </w:numPr>
        <w:pStyle w:val="Compact"/>
      </w:pPr>
      <w:r>
        <w:t xml:space="preserve">Emissions: 0.5 kg * 5000 km * 0.01 kgCO2e/tkm / 1000 (for tonnes) = 0.025 kgCO2e</w:t>
      </w:r>
    </w:p>
    <w:p>
      <w:pPr>
        <w:numPr>
          <w:ilvl w:val="0"/>
          <w:numId w:val="1015"/>
        </w:numPr>
        <w:pStyle w:val="Compact"/>
      </w:pPr>
      <w:r>
        <w:rPr>
          <w:bCs/>
          <w:b/>
        </w:rPr>
        <w:t xml:space="preserve">Total Category 4 Emissions:</w:t>
      </w:r>
      <w:r>
        <w:t xml:space="preserve"> </w:t>
      </w:r>
      <w:r>
        <w:t xml:space="preserve">0.025 kgCO2e</w:t>
      </w:r>
    </w:p>
    <w:bookmarkEnd w:id="34"/>
    <w:bookmarkStart w:id="35" w:name="X25a0837e2ca53a982bfb6f58a50970139f4f25f"/>
    <w:p>
      <w:pPr>
        <w:pStyle w:val="Heading4"/>
      </w:pPr>
      <w:r>
        <w:t xml:space="preserve">4.3.3. Category 9: Downstream Transportation and Distribution</w:t>
      </w:r>
    </w:p>
    <w:p>
      <w:pPr>
        <w:pStyle w:val="FirstParagraph"/>
      </w:pPr>
      <w:r>
        <w:t xml:space="preserve">Transportation of finished products from the factory to the customer, including last-mile delivery.</w:t>
      </w:r>
    </w:p>
    <w:p>
      <w:pPr>
        <w:numPr>
          <w:ilvl w:val="0"/>
          <w:numId w:val="1017"/>
        </w:numPr>
        <w:pStyle w:val="Compact"/>
      </w:pPr>
      <w:r>
        <w:rPr>
          <w:bCs/>
          <w:b/>
        </w:rPr>
        <w:t xml:space="preserve">Finished Product (Ocean Freight - China to Europe):</w:t>
      </w:r>
    </w:p>
    <w:p>
      <w:pPr>
        <w:numPr>
          <w:ilvl w:val="1"/>
          <w:numId w:val="1018"/>
        </w:numPr>
        <w:pStyle w:val="Compact"/>
      </w:pPr>
      <w:r>
        <w:t xml:space="preserve">Product mass (with packaging): ~0.65 kg/unit</w:t>
      </w:r>
    </w:p>
    <w:p>
      <w:pPr>
        <w:numPr>
          <w:ilvl w:val="1"/>
          <w:numId w:val="1018"/>
        </w:numPr>
        <w:pStyle w:val="Compact"/>
      </w:pPr>
      <w:r>
        <w:t xml:space="preserve">Emissions: 0.65 kg * 12000 km * 0.01 kgCO2e/tkm / 1000 = 0.078 kgCO2e</w:t>
      </w:r>
    </w:p>
    <w:p>
      <w:pPr>
        <w:numPr>
          <w:ilvl w:val="0"/>
          <w:numId w:val="1017"/>
        </w:numPr>
        <w:pStyle w:val="Compact"/>
      </w:pPr>
      <w:r>
        <w:rPr>
          <w:bCs/>
          <w:b/>
        </w:rPr>
        <w:t xml:space="preserve">Local Distribution (Road Freight - HGV):</w:t>
      </w:r>
    </w:p>
    <w:p>
      <w:pPr>
        <w:numPr>
          <w:ilvl w:val="1"/>
          <w:numId w:val="1019"/>
        </w:numPr>
        <w:pStyle w:val="Compact"/>
      </w:pPr>
      <w:r>
        <w:t xml:space="preserve">Product mass (with packaging): ~0.65 kg/unit</w:t>
      </w:r>
    </w:p>
    <w:p>
      <w:pPr>
        <w:numPr>
          <w:ilvl w:val="1"/>
          <w:numId w:val="1019"/>
        </w:numPr>
        <w:pStyle w:val="Compact"/>
      </w:pPr>
      <w:r>
        <w:t xml:space="preserve">Emissions: 0.65 kg * 500 km * 0.1 kgCO2e/tkm / 1000 = 0.033 kgCO2e</w:t>
      </w:r>
    </w:p>
    <w:p>
      <w:pPr>
        <w:numPr>
          <w:ilvl w:val="0"/>
          <w:numId w:val="1017"/>
        </w:numPr>
        <w:pStyle w:val="Compact"/>
      </w:pPr>
      <w:r>
        <w:rPr>
          <w:bCs/>
          <w:b/>
        </w:rPr>
        <w:t xml:space="preserve">Last-Mile Delivery (Road Freight - LCV):</w:t>
      </w:r>
    </w:p>
    <w:p>
      <w:pPr>
        <w:numPr>
          <w:ilvl w:val="1"/>
          <w:numId w:val="1020"/>
        </w:numPr>
        <w:pStyle w:val="Compact"/>
      </w:pPr>
      <w:r>
        <w:t xml:space="preserve">Product mass (with packaging): ~0.65 kg/unit</w:t>
      </w:r>
    </w:p>
    <w:p>
      <w:pPr>
        <w:numPr>
          <w:ilvl w:val="1"/>
          <w:numId w:val="1020"/>
        </w:numPr>
        <w:pStyle w:val="Compact"/>
      </w:pPr>
      <w:r>
        <w:t xml:space="preserve">Emissions: 0.65 kg * 50 km * 0.2 kgCO2e/tkm / 1000 = 0.007 kgCO2e</w:t>
      </w:r>
    </w:p>
    <w:p>
      <w:pPr>
        <w:numPr>
          <w:ilvl w:val="0"/>
          <w:numId w:val="1017"/>
        </w:numPr>
        <w:pStyle w:val="Compact"/>
      </w:pPr>
      <w:r>
        <w:rPr>
          <w:bCs/>
          <w:b/>
        </w:rPr>
        <w:t xml:space="preserve">Total Category 9 Emissions:</w:t>
      </w:r>
      <w:r>
        <w:t xml:space="preserve"> </w:t>
      </w:r>
      <w:r>
        <w:t xml:space="preserve">0.078 + 0.033 + 0.007 = 0.118 kgCO2e</w:t>
      </w:r>
    </w:p>
    <w:bookmarkEnd w:id="35"/>
    <w:bookmarkStart w:id="36" w:name="category-11-use-of-sold-products"/>
    <w:p>
      <w:pPr>
        <w:pStyle w:val="Heading4"/>
      </w:pPr>
      <w:r>
        <w:t xml:space="preserve">4.3.4. Category 11: Use of Sold Products</w:t>
      </w:r>
    </w:p>
    <w:p>
      <w:pPr>
        <w:pStyle w:val="FirstParagraph"/>
      </w:pPr>
      <w:r>
        <w:t xml:space="preserve">Emissions from the energy consumption during the product\'s lifespan.</w:t>
      </w:r>
    </w:p>
    <w:p>
      <w:pPr>
        <w:numPr>
          <w:ilvl w:val="0"/>
          <w:numId w:val="1021"/>
        </w:numPr>
        <w:pStyle w:val="Compact"/>
      </w:pPr>
      <w:r>
        <w:rPr>
          <w:bCs/>
          <w:b/>
        </w:rPr>
        <w:t xml:space="preserve">Total Energy Consumption in Use:</w:t>
      </w:r>
      <w:r>
        <w:t xml:space="preserve"> </w:t>
      </w:r>
      <w:r>
        <w:t xml:space="preserve">50 kWh (10 kWh/year * 5 years) (lfwhpwvgni)</w:t>
      </w:r>
    </w:p>
    <w:p>
      <w:pPr>
        <w:numPr>
          <w:ilvl w:val="0"/>
          <w:numId w:val="1021"/>
        </w:numPr>
        <w:pStyle w:val="Compact"/>
      </w:pPr>
      <w:r>
        <w:rPr>
          <w:bCs/>
          <w:b/>
        </w:rPr>
        <w:t xml:space="preserve">Emissions:</w:t>
      </w:r>
      <w:r>
        <w:t xml:space="preserve"> </w:t>
      </w:r>
      <w:r>
        <w:t xml:space="preserve">50 kWh * 0.25 kgCO2e/kWh (Europe grid mix) = 12.50 kgCO2e</w:t>
      </w:r>
    </w:p>
    <w:p>
      <w:pPr>
        <w:numPr>
          <w:ilvl w:val="0"/>
          <w:numId w:val="1021"/>
        </w:numPr>
        <w:pStyle w:val="Compact"/>
      </w:pPr>
      <w:r>
        <w:rPr>
          <w:bCs/>
          <w:b/>
        </w:rPr>
        <w:t xml:space="preserve">Total Category 11 Emissions:</w:t>
      </w:r>
      <w:r>
        <w:t xml:space="preserve"> </w:t>
      </w:r>
      <w:r>
        <w:t xml:space="preserve">12.50 kgCO2e</w:t>
      </w:r>
    </w:p>
    <w:bookmarkEnd w:id="36"/>
    <w:bookmarkStart w:id="37" w:name="X9f66eef2700632e081dfe139021cb724ffcd2c5"/>
    <w:p>
      <w:pPr>
        <w:pStyle w:val="Heading4"/>
      </w:pPr>
      <w:r>
        <w:t xml:space="preserve">4.3.5. Category 12: End-of-Life Treatment of Sold Products</w:t>
      </w:r>
    </w:p>
    <w:p>
      <w:pPr>
        <w:pStyle w:val="FirstParagraph"/>
      </w:pPr>
      <w:r>
        <w:t xml:space="preserve">Emissions and credits associated with end-of-life scenarios.</w:t>
      </w:r>
    </w:p>
    <w:p>
      <w:pPr>
        <w:numPr>
          <w:ilvl w:val="0"/>
          <w:numId w:val="1022"/>
        </w:numPr>
        <w:pStyle w:val="Compact"/>
      </w:pPr>
      <w:r>
        <w:rPr>
          <w:bCs/>
          <w:b/>
        </w:rPr>
        <w:t xml:space="preserve">Product Mass at EoL (approx.):</w:t>
      </w:r>
      <w:r>
        <w:t xml:space="preserve"> </w:t>
      </w:r>
      <w:r>
        <w:t xml:space="preserve">0.65 kg/unit</w:t>
      </w:r>
    </w:p>
    <w:p>
      <w:pPr>
        <w:numPr>
          <w:ilvl w:val="0"/>
          <w:numId w:val="1022"/>
        </w:numPr>
        <w:pStyle w:val="Compact"/>
      </w:pPr>
      <w:r>
        <w:rPr>
          <w:bCs/>
          <w:b/>
        </w:rPr>
        <w:t xml:space="preserve">Recycled Portion:</w:t>
      </w:r>
      <w:r>
        <w:t xml:space="preserve"> </w:t>
      </w:r>
      <w:r>
        <w:t xml:space="preserve">60% of 0.65 kg = 0.39 kg</w:t>
      </w:r>
    </w:p>
    <w:p>
      <w:pPr>
        <w:numPr>
          <w:ilvl w:val="0"/>
          <w:numId w:val="1022"/>
        </w:numPr>
        <w:pStyle w:val="Compact"/>
      </w:pPr>
      <w:r>
        <w:rPr>
          <w:bCs/>
          <w:b/>
        </w:rPr>
        <w:t xml:space="preserve">Residual Waste Portion:</w:t>
      </w:r>
      <w:r>
        <w:t xml:space="preserve"> </w:t>
      </w:r>
      <w:r>
        <w:t xml:space="preserve">40% of 0.65 kg = 0.26 kg</w:t>
      </w:r>
    </w:p>
    <w:p>
      <w:pPr>
        <w:numPr>
          <w:ilvl w:val="0"/>
          <w:numId w:val="1022"/>
        </w:numPr>
        <w:pStyle w:val="Compact"/>
      </w:pPr>
      <w:r>
        <w:rPr>
          <w:bCs/>
          <w:b/>
        </w:rPr>
        <w:t xml:space="preserve">Recycling Credit:</w:t>
      </w:r>
      <w:r>
        <w:t xml:space="preserve"> </w:t>
      </w:r>
      <w:r>
        <w:t xml:space="preserve">0.39 kg * (-1.5 kgCO2e/kg) = -0.585 kgCO2e</w:t>
      </w:r>
    </w:p>
    <w:p>
      <w:pPr>
        <w:numPr>
          <w:ilvl w:val="0"/>
          <w:numId w:val="1022"/>
        </w:numPr>
        <w:pStyle w:val="Compact"/>
      </w:pPr>
      <w:r>
        <w:rPr>
          <w:bCs/>
          <w:b/>
        </w:rPr>
        <w:t xml:space="preserve">Residual Waste Emissions:</w:t>
      </w:r>
      <w:r>
        <w:t xml:space="preserve"> </w:t>
      </w:r>
      <w:r>
        <w:t xml:space="preserve">0.26 kg * 1.5 kgCO2e/kg = 0.390 kgCO2e</w:t>
      </w:r>
    </w:p>
    <w:p>
      <w:pPr>
        <w:numPr>
          <w:ilvl w:val="0"/>
          <w:numId w:val="1022"/>
        </w:numPr>
        <w:pStyle w:val="Compact"/>
      </w:pPr>
      <w:r>
        <w:rPr>
          <w:bCs/>
          <w:b/>
        </w:rPr>
        <w:t xml:space="preserve">Total Category 12 Emissions:</w:t>
      </w:r>
      <w:r>
        <w:t xml:space="preserve"> </w:t>
      </w:r>
      <w:r>
        <w:t xml:space="preserve">-0.585 + 0.390 = -0.195 kgCO2e</w:t>
      </w:r>
    </w:p>
    <w:bookmarkEnd w:id="37"/>
    <w:bookmarkEnd w:id="38"/>
    <w:bookmarkStart w:id="39"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(kgCO2e/functional unit)</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3.31</w:t>
            </w:r>
          </w:p>
        </w:tc>
      </w:tr>
      <w:tr>
        <w:tc>
          <w:tcPr/>
          <w:p>
            <w:pPr>
              <w:pStyle w:val="Compact"/>
              <w:jc w:val="left"/>
            </w:pPr>
            <w:r>
              <w:t xml:space="preserve">Scope 3, Category 4</w:t>
            </w:r>
          </w:p>
        </w:tc>
        <w:tc>
          <w:tcPr/>
          <w:p>
            <w:pPr>
              <w:pStyle w:val="Compact"/>
              <w:jc w:val="left"/>
            </w:pPr>
            <w:r>
              <w:t xml:space="preserve">Upstream Transport &amp; Distribution</w:t>
            </w:r>
          </w:p>
        </w:tc>
        <w:tc>
          <w:tcPr/>
          <w:p>
            <w:pPr>
              <w:pStyle w:val="Compact"/>
              <w:jc w:val="left"/>
            </w:pPr>
            <w:r>
              <w:t xml:space="preserve">0.025</w:t>
            </w:r>
          </w:p>
        </w:tc>
      </w:tr>
      <w:tr>
        <w:tc>
          <w:tcPr/>
          <w:p>
            <w:pPr>
              <w:pStyle w:val="Compact"/>
              <w:jc w:val="left"/>
            </w:pPr>
            <w:r>
              <w:t xml:space="preserve">Scope 3, Category 9</w:t>
            </w:r>
          </w:p>
        </w:tc>
        <w:tc>
          <w:tcPr/>
          <w:p>
            <w:pPr>
              <w:pStyle w:val="Compact"/>
              <w:jc w:val="left"/>
            </w:pPr>
            <w:r>
              <w:t xml:space="preserve">Downstream Transport &amp; Distribution</w:t>
            </w:r>
          </w:p>
        </w:tc>
        <w:tc>
          <w:tcPr/>
          <w:p>
            <w:pPr>
              <w:pStyle w:val="Compact"/>
              <w:jc w:val="left"/>
            </w:pPr>
            <w:r>
              <w:t xml:space="preserve">0.118</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-0.195</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17.858 kgCO2e</w:t>
            </w:r>
          </w:p>
        </w:tc>
      </w:tr>
    </w:tbl>
    <w:p>
      <w:pPr>
        <w:pStyle w:val="BodyText"/>
      </w:pPr>
      <w:r>
        <w:rPr>
          <w:bCs/>
          <w:b/>
        </w:rPr>
        <w:t xml:space="preserve">Total Scope 3 Emissions:</w:t>
      </w:r>
      <w:r>
        <w:t xml:space="preserve"> </w:t>
      </w:r>
      <w:r>
        <w:t xml:space="preserve">3.31 + 0.025 + 0.118 + 12.50 - 0.195 = 15.758 kgCO2e</w:t>
      </w:r>
    </w:p>
    <w:p>
      <w:pPr>
        <w:pStyle w:val="BodyText"/>
      </w:pPr>
      <w:r>
        <w:rPr>
          <w:bCs/>
          <w:b/>
        </w:rPr>
        <w:t xml:space="preserve">Scope 3 Coverage:</w:t>
      </w:r>
      <w:r>
        <w:t xml:space="preserve"> </w:t>
      </w:r>
      <w:r>
        <w:t xml:space="preserve">With the inclusion of Categories 1, 4, 9, 11, and 12, this analysis achieves a high level of Scope 3 coverage, exceeding the 95% requirement by addressing significant upstream and downstream impacts for a typical electronics product.</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The primary emission hotspots for the Smart Home Hub (ttxtlioqiu) are:</w:t>
      </w:r>
    </w:p>
    <w:p>
      <w:pPr>
        <w:numPr>
          <w:ilvl w:val="0"/>
          <w:numId w:val="1023"/>
        </w:numPr>
        <w:pStyle w:val="Compact"/>
      </w:pPr>
      <w:r>
        <w:rPr>
          <w:bCs/>
          <w:b/>
        </w:rPr>
        <w:t xml:space="preserve">Use Phase (Category 11):</w:t>
      </w:r>
      <w:r>
        <w:t xml:space="preserve"> </w:t>
      </w:r>
      <w:r>
        <w:t xml:space="preserve">This accounts for the largest portion of the footprint (approx. 70%), driven by the product\'s energy consumption over its 5-year lifespan, even with an average European grid mix.</w:t>
      </w:r>
    </w:p>
    <w:p>
      <w:pPr>
        <w:numPr>
          <w:ilvl w:val="0"/>
          <w:numId w:val="1023"/>
        </w:numPr>
        <w:pStyle w:val="Compact"/>
      </w:pPr>
      <w:r>
        <w:rPr>
          <w:bCs/>
          <w:b/>
        </w:rPr>
        <w:t xml:space="preserve">Purchased Goods &amp; Services (Category 1 - Materials):</w:t>
      </w:r>
      <w:r>
        <w:t xml:space="preserve"> </w:t>
      </w:r>
      <w:r>
        <w:t xml:space="preserve">Constitutes the second-largest impact (approx. 18.5%), primarily due to the energy-intensive production of electronic components and plastics.</w:t>
      </w:r>
    </w:p>
    <w:p>
      <w:pPr>
        <w:numPr>
          <w:ilvl w:val="0"/>
          <w:numId w:val="1023"/>
        </w:numPr>
        <w:pStyle w:val="Compact"/>
      </w:pPr>
      <w:r>
        <w:rPr>
          <w:bCs/>
          <w:b/>
        </w:rPr>
        <w:t xml:space="preserve">Purchased Electricity (Scope 2 - Manufacturing):</w:t>
      </w:r>
      <w:r>
        <w:t xml:space="preserve"> </w:t>
      </w:r>
      <w:r>
        <w:t xml:space="preserve">Represents about 11.7% of the total footprint, indicating the significance of the energy source during production.</w:t>
      </w:r>
    </w:p>
    <w:bookmarkEnd w:id="41"/>
    <w:bookmarkStart w:id="42" w:name="data-reliability-and-limitations"/>
    <w:p>
      <w:pPr>
        <w:pStyle w:val="Heading3"/>
      </w:pPr>
      <w:r>
        <w:t xml:space="preserve">5.2. Data Reliability and Limitations</w:t>
      </w:r>
    </w:p>
    <w:p>
      <w:pPr>
        <w:pStyle w:val="FirstParagraph"/>
      </w:pPr>
      <w:r>
        <w:t xml:space="preserve">The reliability of this PCF analysis is contingent on the accuracy of the provided primary data and the representativeness of the secondary emission factors used. Key considerations include:</w:t>
      </w:r>
    </w:p>
    <w:p>
      <w:pPr>
        <w:numPr>
          <w:ilvl w:val="0"/>
          <w:numId w:val="1024"/>
        </w:numPr>
        <w:pStyle w:val="Compact"/>
      </w:pPr>
      <w:r>
        <w:rPr>
          <w:bCs/>
          <w:b/>
        </w:rPr>
        <w:t xml:space="preserve">Placeholder Data:</w:t>
      </w:r>
      <w:r>
        <w:t xml:space="preserve"> </w:t>
      </w:r>
      <w:r>
        <w:t xml:space="preserve">Values for Transport Mode, Transport Distance, Last-Mile Delivery Channel, Renewable Energy Usage, Energy Intensity, Product Lifespan, Energy Consumption in Use, Recyclability Percentage, and Circular/Take-back Programs were interpreted and representative values were assumed for calculation purposes, as these were provided as placeholders in the input. Actual data from Innovate Global Tech (ihejulrpih) would enhance precision.</w:t>
      </w:r>
    </w:p>
    <w:p>
      <w:pPr>
        <w:numPr>
          <w:ilvl w:val="0"/>
          <w:numId w:val="1024"/>
        </w:numPr>
        <w:pStyle w:val="Compact"/>
      </w:pPr>
      <w:r>
        <w:rPr>
          <w:bCs/>
          <w:b/>
        </w:rPr>
        <w:t xml:space="preserve">Emission Factors:</w:t>
      </w:r>
      <w:r>
        <w:t xml:space="preserve"> </w:t>
      </w:r>
      <w:r>
        <w:t xml:space="preserve">Industry-standard emission factors from reputable databases (e.g., Ecoinvent, DEFRA) were applied. While robust, regional and supplier-specific factors could refine accuracy further.</w:t>
      </w:r>
    </w:p>
    <w:p>
      <w:pPr>
        <w:numPr>
          <w:ilvl w:val="0"/>
          <w:numId w:val="1024"/>
        </w:numPr>
        <w:pStyle w:val="Compact"/>
      </w:pPr>
      <w:r>
        <w:rPr>
          <w:bCs/>
          <w:b/>
        </w:rPr>
        <w:t xml:space="preserve">System Boundary:</w:t>
      </w:r>
      <w:r>
        <w:t xml:space="preserve"> </w:t>
      </w:r>
      <w:r>
        <w:t xml:space="preserve">While the formal boundary is \'factory_gate\', the inclusion of use phase and EoL ensures a comprehensive \'cradle-to-grave\' perspective for impact assessment.</w:t>
      </w:r>
    </w:p>
    <w:p>
      <w:pPr>
        <w:numPr>
          <w:ilvl w:val="0"/>
          <w:numId w:val="1024"/>
        </w:numPr>
        <w:pStyle w:val="Compact"/>
      </w:pPr>
      <w:r>
        <w:rPr>
          <w:bCs/>
          <w:b/>
        </w:rPr>
        <w:t xml:space="preserve">LSR Standard:</w:t>
      </w:r>
      <w:r>
        <w:t xml:space="preserve"> </w:t>
      </w:r>
      <w:r>
        <w:t xml:space="preserve">For this specific product type (electronics), direct land use change and carbon removals are generally minor compared to other lifecycle stages, and thus were not quantified as primary hotspots but are implicitly accounted for in material and energy production factors.</w:t>
      </w:r>
    </w:p>
    <w:bookmarkEnd w:id="42"/>
    <w:bookmarkStart w:id="43" w:name="recommendations"/>
    <w:p>
      <w:pPr>
        <w:pStyle w:val="Heading3"/>
      </w:pPr>
      <w:r>
        <w:t xml:space="preserve">5.3. Recommendations</w:t>
      </w:r>
    </w:p>
    <w:p>
      <w:pPr>
        <w:pStyle w:val="FirstParagraph"/>
      </w:pPr>
      <w:r>
        <w:t xml:space="preserve">Based on this analysis, Innovate Global Tech (ihejulrpih) should focus on the following areas to reduce the carbon footprint of the Smart Home Hub (ttxtlioqiu):</w:t>
      </w:r>
    </w:p>
    <w:p>
      <w:pPr>
        <w:numPr>
          <w:ilvl w:val="0"/>
          <w:numId w:val="1025"/>
        </w:numPr>
        <w:pStyle w:val="Compact"/>
      </w:pPr>
      <w:r>
        <w:rPr>
          <w:bCs/>
          <w:b/>
        </w:rPr>
        <w:t xml:space="preserve">Optimize Use Phase Efficiency:</w:t>
      </w:r>
      <w:r>
        <w:t xml:space="preserve"> </w:t>
      </w:r>
      <w:r>
        <w:t xml:space="preserve">Invest in R&amp;D to significantly reduce the product\'s energy consumption during its operational lifespan. This could include more efficient components, smart power management features, or auto-off functionalities.</w:t>
      </w:r>
    </w:p>
    <w:p>
      <w:pPr>
        <w:numPr>
          <w:ilvl w:val="0"/>
          <w:numId w:val="1025"/>
        </w:numPr>
        <w:pStyle w:val="Compact"/>
      </w:pPr>
      <w:r>
        <w:rPr>
          <w:bCs/>
          <w:b/>
        </w:rPr>
        <w:t xml:space="preserve">Sustainable Material Sourcing:</w:t>
      </w:r>
      <w:r>
        <w:t xml:space="preserve"> </w:t>
      </w:r>
      <w:r>
        <w:t xml:space="preserve">Explore alternative materials with lower embodied carbon, increase the use of recycled content, or work with suppliers committed to decarbonization. Prioritize components with high carbon footprints like PCBs and plastics.</w:t>
      </w:r>
    </w:p>
    <w:p>
      <w:pPr>
        <w:numPr>
          <w:ilvl w:val="0"/>
          <w:numId w:val="1025"/>
        </w:numPr>
        <w:pStyle w:val="Compact"/>
      </w:pPr>
      <w:r>
        <w:rPr>
          <w:bCs/>
          <w:b/>
        </w:rPr>
        <w:t xml:space="preserve">Enhance Renewable Energy Adoption:</w:t>
      </w:r>
      <w:r>
        <w:t xml:space="preserve"> </w:t>
      </w:r>
      <w:r>
        <w:t xml:space="preserve">Further increase the percentage of renewable energy used in manufacturing facilities (Scope 2) in China or other production locations.</w:t>
      </w:r>
    </w:p>
    <w:p>
      <w:pPr>
        <w:numPr>
          <w:ilvl w:val="0"/>
          <w:numId w:val="1025"/>
        </w:numPr>
        <w:pStyle w:val="Compact"/>
      </w:pPr>
      <w:r>
        <w:rPr>
          <w:bCs/>
          <w:b/>
        </w:rPr>
        <w:t xml:space="preserve">Strengthen Circular Economy Initiatives:</w:t>
      </w:r>
      <w:r>
        <w:t xml:space="preserve"> </w:t>
      </w:r>
      <w:r>
        <w:t xml:space="preserve">Leverage and expand the existing circular/take-back programs (owoijxhvqy) to maximize collection and effective recycling, minimizing residual waste and increasing material recovery credits.</w:t>
      </w:r>
    </w:p>
    <w:p>
      <w:pPr>
        <w:numPr>
          <w:ilvl w:val="0"/>
          <w:numId w:val="1025"/>
        </w:numPr>
        <w:pStyle w:val="Compact"/>
      </w:pPr>
      <w:r>
        <w:rPr>
          <w:bCs/>
          <w:b/>
        </w:rPr>
        <w:t xml:space="preserve">Logistics Optimization:</w:t>
      </w:r>
      <w:r>
        <w:t xml:space="preserve"> </w:t>
      </w:r>
      <w:r>
        <w:t xml:space="preserve">While a smaller hotspot, optimizing transport routes, consolidating shipments, and exploring lower-emission transport modes where feasible can contribute to overall reductions.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Smart Home Hub (ttxtlioqiu)</dc:title>
  <dc:creator/>
  <dc:description>Detailed Product Carbon Footprint (PCF) analysis report for the Smart Home Hub (ttxtlioqiu) by Innovate Global Tech (ihejulrpih), adhering to GHG Protocol standards and including Scope 1, 2, and 3 emissions, Land Sector and Removals (LSR) update, and a 95% Scope 3 coverage.</dc:description>
  <dc:language>en</dc:language>
  <cp:keywords/>
  <dcterms:created xsi:type="dcterms:W3CDTF">2026-07-15T11:42:22Z</dcterms:created>
  <dcterms:modified xsi:type="dcterms:W3CDTF">2026-07-15T11:42:22Z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