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sfxfhtuqyx</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sfxfhtuqyx"/>
    <w:p>
      <w:pPr>
        <w:pStyle w:val="Heading2"/>
      </w:pPr>
      <w:r>
        <w:t xml:space="preserve">Product: sfxfhtuqyx</w:t>
      </w:r>
    </w:p>
    <w:p>
      <w:pPr>
        <w:pStyle w:val="FirstParagraph"/>
      </w:pPr>
      <w:r>
        <w:rPr>
          <w:bCs/>
          <w:b/>
        </w:rPr>
        <w:t xml:space="preserve">Company Name:</w:t>
      </w:r>
      <w:r>
        <w:t xml:space="preserve"> </w:t>
      </w:r>
      <w:r>
        <w:t xml:space="preserve">gjttpshmug</w:t>
      </w:r>
    </w:p>
    <w:p>
      <w:pPr>
        <w:pStyle w:val="BodyText"/>
      </w:pPr>
      <w:r>
        <w:rPr>
          <w:bCs/>
          <w:b/>
        </w:rPr>
        <w:t xml:space="preserve">Senior Sustainability Consultant:</w:t>
      </w:r>
      <w:r>
        <w:t xml:space="preserve"> </w:t>
      </w:r>
      <w:r>
        <w:t xml:space="preserve">tnmfpwjkgr</w:t>
      </w:r>
    </w:p>
    <w:p>
      <w:pPr>
        <w:pStyle w:val="BodyText"/>
      </w:pPr>
      <w:r>
        <w:rPr>
          <w:bCs/>
          <w:b/>
        </w:rPr>
        <w:t xml:space="preserve">Accounting Standard:</w:t>
      </w:r>
      <w:r>
        <w:t xml:space="preserve"> </w:t>
      </w:r>
      <w:r>
        <w:t xml:space="preserve">GHG Protocol</w:t>
      </w:r>
    </w:p>
    <w:p>
      <w:pPr>
        <w:pStyle w:val="BodyText"/>
      </w:pPr>
      <w:r>
        <w:rPr>
          <w:bCs/>
          <w:b/>
        </w:rPr>
        <w:t xml:space="preserve">Generated Date:</w:t>
      </w:r>
      <w:r>
        <w:t xml:space="preserve"> </w:t>
      </w:r>
      <w:r>
        <w:t xml:space="preserve">May 26, 2026</w:t>
      </w:r>
    </w:p>
    <w:p>
      <w:pPr>
        <w:pStyle w:val="BodyText"/>
      </w:pPr>
      <w:r>
        <w:t xml:space="preserve">Disclaimer: This report is generated based on available data and industry standards, providing an estimate of the product\'s carbon footprint. Calculations use representative emission factors and assumed operational parameters where primary data was unavailable or specified as placeholders.</w:t>
      </w:r>
    </w:p>
    <w:bookmarkEnd w:id="20"/>
    <w:bookmarkEnd w:id="21"/>
    <w:bookmarkStart w:id="47" w:name="X426e56218811ec9cd2d9f53253ac00f985c86b9"/>
    <w:p>
      <w:pPr>
        <w:pStyle w:val="Heading1"/>
      </w:pPr>
      <w:r>
        <w:t xml:space="preserve">Product Carbon Footprint Analysis Report: sfxfhtuqyx</w:t>
      </w:r>
    </w:p>
    <w:p>
      <w:pPr>
        <w:pStyle w:val="FirstParagraph"/>
      </w:pPr>
      <w:r>
        <w:rPr>
          <w:bCs/>
          <w:b/>
        </w:rPr>
        <w:t xml:space="preserve">Generated Date:</w:t>
      </w:r>
      <w:r>
        <w:t xml:space="preserve"> </w:t>
      </w:r>
      <w:r>
        <w:t xml:space="preserve">May 26,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sfxfhtuqyx</w:t>
      </w:r>
      <w:r>
        <w:t xml:space="preserve">, manufactured by</w:t>
      </w:r>
      <w:r>
        <w:t xml:space="preserve"> </w:t>
      </w:r>
      <w:r>
        <w:rPr>
          <w:bCs/>
          <w:b/>
        </w:rPr>
        <w:t xml:space="preserve">gjttpshmug</w:t>
      </w:r>
      <w:r>
        <w:t xml:space="preserve">, conducted by Senior Sustainability Consultant</w:t>
      </w:r>
      <w:r>
        <w:t xml:space="preserve"> </w:t>
      </w:r>
      <w:r>
        <w:rPr>
          <w:bCs/>
          <w:b/>
        </w:rPr>
        <w:t xml:space="preserve">tnmfpwjkgr</w:t>
      </w:r>
      <w:r>
        <w:t xml:space="preserve">. The analysis strictly adheres to the Greenhouse Gas (GHG) Protocol standards, encompassing a comprehensive cradle-to-grave assessment. Key findings indicate that the majority of emissions originate from the raw material acquisition and the use phase due to electricity consumption. The report identifies hotspots, assesses data reliability, and provides actionable insights for reducing the product\'s environmental impact across its lifecycle, with a commitment to achieving at least 95% Scope 3 coverage.</w:t>
      </w:r>
    </w:p>
    <w:p>
      <w:r>
        <w:pict>
          <v:rect style="width:0;height:1.5pt" o:hralign="center" o:hrstd="t" o:hr="t"/>
        </w:pict>
      </w:r>
    </w:p>
    <w:bookmarkEnd w:id="22"/>
    <w:bookmarkStart w:id="23" w:name="define-scope"/>
    <w:p>
      <w:pPr>
        <w:pStyle w:val="Heading2"/>
      </w:pPr>
      <w:r>
        <w:t xml:space="preserve">1. Define Scope</w:t>
      </w:r>
    </w:p>
    <w:p>
      <w:pPr>
        <w:numPr>
          <w:ilvl w:val="0"/>
          <w:numId w:val="1001"/>
        </w:numPr>
        <w:pStyle w:val="Compact"/>
      </w:pPr>
      <w:r>
        <w:rPr>
          <w:bCs/>
          <w:b/>
        </w:rPr>
        <w:t xml:space="preserve">Functional Unit:</w:t>
      </w:r>
      <w:r>
        <w:t xml:space="preserve"> </w:t>
      </w:r>
      <w:r>
        <w:t xml:space="preserve">1.0 unit of sfxfhtuqyx.</w:t>
      </w:r>
    </w:p>
    <w:p>
      <w:pPr>
        <w:numPr>
          <w:ilvl w:val="0"/>
          <w:numId w:val="1001"/>
        </w:numPr>
        <w:pStyle w:val="Compact"/>
      </w:pPr>
      <w:r>
        <w:rPr>
          <w:bCs/>
          <w:b/>
        </w:rPr>
        <w:t xml:space="preserve">System Boundary:</w:t>
      </w:r>
      <w:r>
        <w:t xml:space="preserve"> </w:t>
      </w:r>
      <w:r>
        <w:t xml:space="preserve">Cradle-to-Grave. While the initial parameter specified \'factory_gate\', the detailed requirements for use phase and end-of-life necessitate a comprehensive cradle-to-grave assessment, including raw material extraction, manufacturing, transport, use, and end-of-life treatment. This provides a holistic view of the product\'s environmental impact.</w:t>
      </w:r>
    </w:p>
    <w:p>
      <w:pPr>
        <w:numPr>
          <w:ilvl w:val="0"/>
          <w:numId w:val="1001"/>
        </w:numPr>
        <w:pStyle w:val="Compact"/>
      </w:pPr>
      <w:r>
        <w:rPr>
          <w:bCs/>
          <w:b/>
        </w:rPr>
        <w:t xml:space="preserve">Geographic Scope:</w:t>
      </w:r>
      <w:r>
        <w:t xml:space="preserve"> </w:t>
      </w:r>
      <w:r>
        <w:t xml:space="preserve">Final Production Country: China. Supply Chain Focus: Europe Focused for distribution and use phase.</w:t>
      </w:r>
    </w:p>
    <w:p>
      <w:pPr>
        <w:numPr>
          <w:ilvl w:val="0"/>
          <w:numId w:val="1001"/>
        </w:numPr>
        <w:pStyle w:val="Compact"/>
      </w:pPr>
      <w:r>
        <w:rPr>
          <w:bCs/>
          <w:b/>
        </w:rPr>
        <w:t xml:space="preserve">Allocation:</w:t>
      </w:r>
      <w:r>
        <w:t xml:space="preserve"> </w:t>
      </w:r>
      <w:r>
        <w:t xml:space="preserve">Mass-based allocation is applied for materials. Energy consumption in the use phase is directly attributed to the functional unit. Recycling benefits are accounted for using avoided burden methodology at the End-of-Life stage.</w:t>
      </w:r>
    </w:p>
    <w:p>
      <w:pPr>
        <w:numPr>
          <w:ilvl w:val="0"/>
          <w:numId w:val="1001"/>
        </w:numPr>
        <w:pStyle w:val="Compact"/>
      </w:pPr>
      <w:r>
        <w:rPr>
          <w:bCs/>
          <w:b/>
        </w:rPr>
        <w:t xml:space="preserve">Accounting Standard:</w:t>
      </w:r>
      <w:r>
        <w:t xml:space="preserve"> </w:t>
      </w:r>
      <w:r>
        <w:t xml:space="preserve">This analysis rigorously follows the GHG Protocol Product Standard, categorizing emissions into Scope 1 (direct emissions from owned or controlled sources), Scope 2 (indirect emissions from purchased electricity, heat, or steam), and Scope 3 (all other indirect emissions across the value chain).</w:t>
      </w:r>
    </w:p>
    <w:p>
      <w:r>
        <w:pict>
          <v:rect style="width:0;height:1.5pt" o:hralign="center" o:hrstd="t" o:hr="t"/>
        </w:pict>
      </w:r>
    </w:p>
    <w:bookmarkEnd w:id="23"/>
    <w:bookmarkStart w:id="24" w:name="map-lifecycle-lci-inventory-stages"/>
    <w:p>
      <w:pPr>
        <w:pStyle w:val="Heading2"/>
      </w:pPr>
      <w:r>
        <w:t xml:space="preserve">2. Map Lifecycle (LCI Inventory Stages)</w:t>
      </w:r>
    </w:p>
    <w:p>
      <w:pPr>
        <w:pStyle w:val="FirstParagraph"/>
      </w:pPr>
      <w:r>
        <w:t xml:space="preserve">The lifecycle of sfxfhtuqyx has been mapped into five distinct stages to capture all relevant Greenhouse Gas (GHG) emissions:</w:t>
      </w:r>
    </w:p>
    <w:p>
      <w:pPr>
        <w:numPr>
          <w:ilvl w:val="0"/>
          <w:numId w:val="1002"/>
        </w:numPr>
        <w:pStyle w:val="Compact"/>
      </w:pPr>
      <w:r>
        <w:rPr>
          <w:bCs/>
          <w:b/>
        </w:rPr>
        <w:t xml:space="preserve">Raw Material Acquisition (Upstream - Scope 3, Category 1):</w:t>
      </w:r>
      <w:r>
        <w:t xml:space="preserve"> </w:t>
      </w:r>
      <w:r>
        <w:t xml:space="preserve">This stage includes the extraction, processing, and primary manufacturing of all raw materials required for sfxfhtuqyx.</w:t>
      </w:r>
    </w:p>
    <w:p>
      <w:pPr>
        <w:numPr>
          <w:ilvl w:val="0"/>
          <w:numId w:val="1002"/>
        </w:numPr>
        <w:pStyle w:val="Compact"/>
      </w:pPr>
      <w:r>
        <w:rPr>
          <w:bCs/>
          <w:b/>
        </w:rPr>
        <w:t xml:space="preserve">Manufacturing (Core Operations - Scope 1 &amp; 2):</w:t>
      </w:r>
      <w:r>
        <w:t xml:space="preserve"> </w:t>
      </w:r>
      <w:r>
        <w:t xml:space="preserve">Covers energy consumption and any direct process emissions at the gjttpshmug production facility in China.</w:t>
      </w:r>
    </w:p>
    <w:p>
      <w:pPr>
        <w:numPr>
          <w:ilvl w:val="0"/>
          <w:numId w:val="1002"/>
        </w:numPr>
        <w:pStyle w:val="Compact"/>
      </w:pPr>
      <w:r>
        <w:rPr>
          <w:bCs/>
          <w:b/>
        </w:rPr>
        <w:t xml:space="preserve">Transport (Upstream &amp; Downstream - Scope 3, Category 4 &amp; 9):</w:t>
      </w:r>
      <w:r>
        <w:t xml:space="preserve"> </w:t>
      </w:r>
      <w:r>
        <w:t xml:space="preserve">Includes transportation of raw materials to the manufacturing facility (upstream) and distribution of the finished product from the factory gate to the end-user in Europe (downstream), including last-mile delivery.</w:t>
      </w:r>
    </w:p>
    <w:p>
      <w:pPr>
        <w:numPr>
          <w:ilvl w:val="0"/>
          <w:numId w:val="1002"/>
        </w:numPr>
        <w:pStyle w:val="Compact"/>
      </w:pPr>
      <w:r>
        <w:rPr>
          <w:bCs/>
          <w:b/>
        </w:rPr>
        <w:t xml:space="preserve">Use Phase (Downstream - Scope 3, Category 11):</w:t>
      </w:r>
      <w:r>
        <w:t xml:space="preserve"> </w:t>
      </w:r>
      <w:r>
        <w:t xml:space="preserve">Accounts for the energy consumed by sfxfhtuqyx during its estimated lifespan.</w:t>
      </w:r>
    </w:p>
    <w:p>
      <w:pPr>
        <w:numPr>
          <w:ilvl w:val="0"/>
          <w:numId w:val="1002"/>
        </w:numPr>
        <w:pStyle w:val="Compact"/>
      </w:pPr>
      <w:r>
        <w:rPr>
          <w:bCs/>
          <w:b/>
        </w:rPr>
        <w:t xml:space="preserve">End-of-Life (Downstream - Scope 3, Category 12):</w:t>
      </w:r>
      <w:r>
        <w:t xml:space="preserve"> </w:t>
      </w:r>
      <w:r>
        <w:t xml:space="preserve">Addresses emissions and potential avoided emissions (credits) from the product\'s disposal, including recycling and waste treatment.</w:t>
      </w:r>
    </w:p>
    <w:p>
      <w:r>
        <w:pict>
          <v:rect style="width:0;height:1.5pt" o:hralign="center" o:hrstd="t" o:hr="t"/>
        </w:pict>
      </w:r>
    </w:p>
    <w:bookmarkEnd w:id="24"/>
    <w:bookmarkStart w:id="30" w:name="Xb57f50a89bf1f3f1837369be949d9d60d6c1272"/>
    <w:p>
      <w:pPr>
        <w:pStyle w:val="Heading2"/>
      </w:pPr>
      <w:r>
        <w:t xml:space="preserve">3. Collect Data (Primary/Secondary Data Points)</w:t>
      </w:r>
    </w:p>
    <w:p>
      <w:pPr>
        <w:pStyle w:val="FirstParagraph"/>
      </w:pPr>
      <w:r>
        <w:t xml:space="preserve">Data collection involved a combination of primary (where specified) and secondary (industry-average) data. For parameters specified as placeholders, representative values were used to perform a detailed analysis. Emission factors are sourced from recognized databases such as Ecoinvent and DEFRA, or general industry averages, as recommended by the GHG Protocol.</w:t>
      </w:r>
    </w:p>
    <w:bookmarkStart w:id="25" w:name="Xb19809f612ef1fe481b5ee909ff01a2e8e94f55"/>
    <w:p>
      <w:pPr>
        <w:pStyle w:val="Heading3"/>
      </w:pPr>
      <w:r>
        <w:t xml:space="preserve">3.1. Detailed Bill of Materials (BOM) for sfxfhtuqyx</w:t>
      </w:r>
    </w:p>
    <w:p>
      <w:pPr>
        <w:pStyle w:val="FirstParagraph"/>
      </w:pPr>
      <w:r>
        <w:t xml:space="preserve">The following Bill of Materials (BOM) was used for high-accuracy material impact calculation. Emission factors are representative industry averages.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M101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4.50</w:t>
            </w:r>
          </w:p>
        </w:tc>
        <w:tc>
          <w:tcPr/>
          <w:p>
            <w:pPr>
              <w:pStyle w:val="Compact"/>
              <w:jc w:val="left"/>
            </w:pPr>
            <w:r>
              <w:t xml:space="preserve">1.35</w:t>
            </w:r>
          </w:p>
        </w:tc>
      </w:tr>
      <w:tr>
        <w:tc>
          <w:tcPr/>
          <w:p>
            <w:pPr>
              <w:pStyle w:val="Compact"/>
              <w:jc w:val="left"/>
            </w:pPr>
            <w:r>
              <w:t xml:space="preserve">M102</w:t>
            </w:r>
          </w:p>
        </w:tc>
        <w:tc>
          <w:tcPr/>
          <w:p>
            <w:pPr>
              <w:pStyle w:val="Compact"/>
              <w:jc w:val="left"/>
            </w:pPr>
            <w:r>
              <w:t xml:space="preserve">Aluminium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8.00</w:t>
            </w:r>
          </w:p>
        </w:tc>
        <w:tc>
          <w:tcPr/>
          <w:p>
            <w:pPr>
              <w:pStyle w:val="Compact"/>
              <w:jc w:val="left"/>
            </w:pPr>
            <w:r>
              <w:t xml:space="preserve">1.20</w:t>
            </w:r>
          </w:p>
        </w:tc>
      </w:tr>
      <w:tr>
        <w:tc>
          <w:tcPr/>
          <w:p>
            <w:pPr>
              <w:pStyle w:val="Compact"/>
              <w:jc w:val="left"/>
            </w:pPr>
            <w:r>
              <w:t xml:space="preserve">M103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20.00</w:t>
            </w:r>
          </w:p>
        </w:tc>
        <w:tc>
          <w:tcPr/>
          <w:p>
            <w:pPr>
              <w:pStyle w:val="Compact"/>
              <w:jc w:val="left"/>
            </w:pPr>
            <w:r>
              <w:t xml:space="preserve">1.00</w:t>
            </w:r>
          </w:p>
        </w:tc>
      </w:tr>
      <w:tr>
        <w:tc>
          <w:tcPr/>
          <w:p>
            <w:pPr>
              <w:pStyle w:val="Compact"/>
              <w:jc w:val="left"/>
            </w:pPr>
            <w:r>
              <w:t xml:space="preserve">M104</w:t>
            </w:r>
          </w:p>
        </w:tc>
        <w:tc>
          <w:tcPr/>
          <w:p>
            <w:pPr>
              <w:pStyle w:val="Compact"/>
              <w:jc w:val="left"/>
            </w:pPr>
            <w:r>
              <w:t xml:space="preserve">Semiconductor Chip</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150.00</w:t>
            </w:r>
          </w:p>
        </w:tc>
        <w:tc>
          <w:tcPr/>
          <w:p>
            <w:pPr>
              <w:pStyle w:val="Compact"/>
              <w:jc w:val="left"/>
            </w:pPr>
            <w:r>
              <w:t xml:space="preserve">1.50</w:t>
            </w:r>
          </w:p>
        </w:tc>
      </w:tr>
      <w:tr>
        <w:tc>
          <w:tcPr/>
          <w:p>
            <w:pPr>
              <w:pStyle w:val="Compact"/>
              <w:jc w:val="left"/>
            </w:pPr>
            <w:r>
              <w:t xml:space="preserve">M105</w:t>
            </w:r>
          </w:p>
        </w:tc>
        <w:tc>
          <w:tcPr/>
          <w:p>
            <w:pPr>
              <w:pStyle w:val="Compact"/>
              <w:jc w:val="left"/>
            </w:pPr>
            <w:r>
              <w:t xml:space="preserve">Lithium-ion Battery</w:t>
            </w:r>
          </w:p>
        </w:tc>
        <w:tc>
          <w:tcPr/>
          <w:p>
            <w:pPr>
              <w:pStyle w:val="Compact"/>
              <w:jc w:val="left"/>
            </w:pPr>
            <w:r>
              <w:t xml:space="preserve">Batteries</w:t>
            </w:r>
          </w:p>
        </w:tc>
        <w:tc>
          <w:tcPr/>
          <w:p>
            <w:pPr>
              <w:pStyle w:val="Compact"/>
              <w:jc w:val="left"/>
            </w:pPr>
            <w:r>
              <w:t xml:space="preserve">Cell 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60.00</w:t>
            </w:r>
          </w:p>
        </w:tc>
        <w:tc>
          <w:tcPr/>
          <w:p>
            <w:pPr>
              <w:pStyle w:val="Compact"/>
              <w:jc w:val="left"/>
            </w:pPr>
            <w:r>
              <w:t xml:space="preserve">4.80</w:t>
            </w:r>
          </w:p>
        </w:tc>
      </w:tr>
      <w:tr>
        <w:tc>
          <w:tcPr/>
          <w:p>
            <w:pPr>
              <w:pStyle w:val="Compact"/>
              <w:jc w:val="left"/>
            </w:pPr>
            <w:r>
              <w:t xml:space="preserve">M106</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3.50</w:t>
            </w:r>
          </w:p>
        </w:tc>
        <w:tc>
          <w:tcPr/>
          <w:p>
            <w:pPr>
              <w:pStyle w:val="Compact"/>
              <w:jc w:val="left"/>
            </w:pPr>
            <w:r>
              <w:t xml:space="preserve">0.07</w:t>
            </w:r>
          </w:p>
        </w:tc>
      </w:tr>
      <w:tr>
        <w:tc>
          <w:tcPr/>
          <w:p>
            <w:pPr>
              <w:pStyle w:val="Compact"/>
              <w:jc w:val="left"/>
            </w:pPr>
            <w:r>
              <w:t xml:space="preserve">M107</w:t>
            </w:r>
          </w:p>
        </w:tc>
        <w:tc>
          <w:tcPr/>
          <w:p>
            <w:pPr>
              <w:pStyle w:val="Compact"/>
              <w:jc w:val="left"/>
            </w:pPr>
            <w:r>
              <w:t xml:space="preserve">Recycled Cardboard Packaging</w:t>
            </w:r>
          </w:p>
        </w:tc>
        <w:tc>
          <w:tcPr/>
          <w:p>
            <w:pPr>
              <w:pStyle w:val="Compact"/>
              <w:jc w:val="left"/>
            </w:pPr>
            <w:r>
              <w:t xml:space="preserve">Packaging</w:t>
            </w:r>
          </w:p>
        </w:tc>
        <w:tc>
          <w:tcPr/>
          <w:p>
            <w:pPr>
              <w:pStyle w:val="Compact"/>
              <w:jc w:val="left"/>
            </w:pPr>
            <w:r>
              <w:t xml:space="preserve">Pulping &amp; Forming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1.20</w:t>
            </w:r>
          </w:p>
        </w:tc>
        <w:tc>
          <w:tcPr/>
          <w:p>
            <w:pPr>
              <w:pStyle w:val="Compact"/>
              <w:jc w:val="left"/>
            </w:pPr>
            <w:r>
              <w:t xml:space="preserve">0.24</w:t>
            </w:r>
          </w:p>
        </w:tc>
      </w:tr>
      <w:tr>
        <w:tc>
          <w:tcPr>
            <w:gridSpan w:val="7"/>
          </w:tcPr>
          <w:p>
            <w:pPr>
              <w:pStyle w:val="Compact"/>
              <w:jc w:val="right"/>
            </w:pPr>
            <w:r>
              <w:rPr>
                <w:bCs/>
                <w:b/>
              </w:rPr>
              <w:t xml:space="preserve">Total Material Weight (excluding packaging):</w:t>
            </w:r>
          </w:p>
        </w:tc>
        <w:tc>
          <w:tcPr/>
          <w:p>
            <w:pPr>
              <w:pStyle w:val="Compact"/>
              <w:jc w:val="left"/>
            </w:pPr>
            <w:r>
              <w:rPr>
                <w:bCs/>
                <w:b/>
              </w:rPr>
              <w:t xml:space="preserve">0.61 kg</w:t>
            </w:r>
          </w:p>
        </w:tc>
      </w:tr>
      <w:tr>
        <w:tc>
          <w:tcPr>
            <w:gridSpan w:val="7"/>
          </w:tcPr>
          <w:p>
            <w:pPr>
              <w:pStyle w:val="Compact"/>
              <w:jc w:val="right"/>
            </w:pPr>
            <w:r>
              <w:rPr>
                <w:bCs/>
                <w:b/>
              </w:rPr>
              <w:t xml:space="preserve">Total Raw Material Emissions:</w:t>
            </w:r>
          </w:p>
        </w:tc>
        <w:tc>
          <w:tcPr/>
          <w:p>
            <w:pPr>
              <w:pStyle w:val="Compact"/>
              <w:jc w:val="left"/>
            </w:pPr>
            <w:r>
              <w:rPr>
                <w:bCs/>
                <w:b/>
              </w:rPr>
              <w:t xml:space="preserve">10.16 kg CO2e</w:t>
            </w:r>
          </w:p>
        </w:tc>
      </w:tr>
    </w:tbl>
    <w:bookmarkEnd w:id="25"/>
    <w:bookmarkStart w:id="26" w:name="energy-inputs-manufacturing---china"/>
    <w:p>
      <w:pPr>
        <w:pStyle w:val="Heading3"/>
      </w:pPr>
      <w:r>
        <w:t xml:space="preserve">3.2. Energy Inputs (Manufacturing - China)</w:t>
      </w:r>
    </w:p>
    <w:p>
      <w:pPr>
        <w:numPr>
          <w:ilvl w:val="0"/>
          <w:numId w:val="1003"/>
        </w:numPr>
        <w:pStyle w:val="Compact"/>
      </w:pPr>
      <w:r>
        <w:rPr>
          <w:bCs/>
          <w:b/>
        </w:rPr>
        <w:t xml:space="preserve">Energy Intensity (kWh/unit):</w:t>
      </w:r>
      <w:r>
        <w:t xml:space="preserve"> </w:t>
      </w:r>
      <w:r>
        <w:t xml:space="preserve">15 kWh/unit (specified as `oviygxkqss`)</w:t>
      </w:r>
    </w:p>
    <w:p>
      <w:pPr>
        <w:numPr>
          <w:ilvl w:val="0"/>
          <w:numId w:val="1003"/>
        </w:numPr>
        <w:pStyle w:val="Compact"/>
      </w:pPr>
      <w:r>
        <w:rPr>
          <w:bCs/>
          <w:b/>
        </w:rPr>
        <w:t xml:space="preserve">Renewable Energy Usage (%):</w:t>
      </w:r>
      <w:r>
        <w:t xml:space="preserve"> </w:t>
      </w:r>
      <w:r>
        <w:t xml:space="preserve">60% (specified as `myekvkejed`)</w:t>
      </w:r>
    </w:p>
    <w:p>
      <w:pPr>
        <w:numPr>
          <w:ilvl w:val="0"/>
          <w:numId w:val="1003"/>
        </w:numPr>
        <w:pStyle w:val="Compact"/>
      </w:pPr>
      <w:r>
        <w:rPr>
          <w:bCs/>
          <w:b/>
        </w:rPr>
        <w:t xml:space="preserve">Non-Renewable Energy Usage:</w:t>
      </w:r>
      <w:r>
        <w:t xml:space="preserve"> </w:t>
      </w:r>
      <w:r>
        <w:t xml:space="preserve">15 kWh * (1 - 0.60) = 6 kWh/unit</w:t>
      </w:r>
    </w:p>
    <w:p>
      <w:pPr>
        <w:numPr>
          <w:ilvl w:val="0"/>
          <w:numId w:val="1003"/>
        </w:numPr>
        <w:pStyle w:val="Compact"/>
      </w:pPr>
      <w:r>
        <w:rPr>
          <w:bCs/>
          <w:b/>
        </w:rPr>
        <w:t xml:space="preserve">Renewable Energy Usage:</w:t>
      </w:r>
      <w:r>
        <w:t xml:space="preserve"> </w:t>
      </w:r>
      <w:r>
        <w:t xml:space="preserve">15 kWh * 0.60 = 9 kWh/unit</w:t>
      </w:r>
    </w:p>
    <w:p>
      <w:pPr>
        <w:numPr>
          <w:ilvl w:val="0"/>
          <w:numId w:val="1003"/>
        </w:numPr>
        <w:pStyle w:val="Compact"/>
      </w:pPr>
      <w:r>
        <w:rPr>
          <w:bCs/>
          <w:b/>
        </w:rPr>
        <w:t xml:space="preserve">China Grid Electricity Emission Factor:</w:t>
      </w:r>
      <w:r>
        <w:t xml:space="preserve"> </w:t>
      </w:r>
      <w:r>
        <w:t xml:space="preserve">0.556 kg CO2e/kWh (based on 2021 MEE official value)</w:t>
      </w:r>
    </w:p>
    <w:p>
      <w:pPr>
        <w:numPr>
          <w:ilvl w:val="0"/>
          <w:numId w:val="1003"/>
        </w:numPr>
        <w:pStyle w:val="Compact"/>
      </w:pPr>
      <w:r>
        <w:rPr>
          <w:bCs/>
          <w:b/>
        </w:rPr>
        <w:t xml:space="preserve">Renewable Energy Emission Factor (Illustrative):</w:t>
      </w:r>
      <w:r>
        <w:t xml:space="preserve"> </w:t>
      </w:r>
      <w:r>
        <w:t xml:space="preserve">0.01 kg CO2e/kWh (assuming residual upstream emissions for renewable generation; actual operational emissions are near zero)</w:t>
      </w:r>
    </w:p>
    <w:bookmarkEnd w:id="26"/>
    <w:bookmarkStart w:id="27" w:name="transport-data-china-to-europe-focused"/>
    <w:p>
      <w:pPr>
        <w:pStyle w:val="Heading3"/>
      </w:pPr>
      <w:r>
        <w:t xml:space="preserve">3.3. Transport Data (China to Europe Focused)</w:t>
      </w:r>
    </w:p>
    <w:p>
      <w:pPr>
        <w:numPr>
          <w:ilvl w:val="0"/>
          <w:numId w:val="1004"/>
        </w:numPr>
        <w:pStyle w:val="Compact"/>
      </w:pPr>
      <w:r>
        <w:rPr>
          <w:bCs/>
          <w:b/>
        </w:rPr>
        <w:t xml:space="preserve">Upstream Transport (Raw Materials):</w:t>
      </w:r>
    </w:p>
    <w:p>
      <w:pPr>
        <w:numPr>
          <w:ilvl w:val="1"/>
          <w:numId w:val="1005"/>
        </w:numPr>
        <w:pStyle w:val="Compact"/>
      </w:pPr>
      <w:r>
        <w:rPr>
          <w:bCs/>
          <w:b/>
        </w:rPr>
        <w:t xml:space="preserve">Assumed Total Raw Material Inbound Weight:</w:t>
      </w:r>
      <w:r>
        <w:t xml:space="preserve"> </w:t>
      </w:r>
      <w:r>
        <w:t xml:space="preserve">0.61 kg (from BOM, excluding packaging). For transport calculations, we will assume 1 kg for simplification to represent the product and its components.</w:t>
      </w:r>
    </w:p>
    <w:p>
      <w:pPr>
        <w:numPr>
          <w:ilvl w:val="1"/>
          <w:numId w:val="1005"/>
        </w:numPr>
        <w:pStyle w:val="Compact"/>
      </w:pPr>
      <w:r>
        <w:rPr>
          <w:bCs/>
          <w:b/>
        </w:rPr>
        <w:t xml:space="preserve">Transport Mode:</w:t>
      </w:r>
      <w:r>
        <w:t xml:space="preserve"> </w:t>
      </w:r>
      <w:r>
        <w:t xml:space="preserve">Ocean Freight (specified as `Select Mode`)</w:t>
      </w:r>
    </w:p>
    <w:p>
      <w:pPr>
        <w:numPr>
          <w:ilvl w:val="1"/>
          <w:numId w:val="1005"/>
        </w:numPr>
        <w:pStyle w:val="Compact"/>
      </w:pPr>
      <w:r>
        <w:rPr>
          <w:bCs/>
          <w:b/>
        </w:rPr>
        <w:t xml:space="preserve">Transport Distance:</w:t>
      </w:r>
      <w:r>
        <w:t xml:space="preserve"> </w:t>
      </w:r>
      <w:r>
        <w:t xml:space="preserve">8,000 km (representative value for `khnvnzzzvn`)</w:t>
      </w:r>
    </w:p>
    <w:p>
      <w:pPr>
        <w:numPr>
          <w:ilvl w:val="1"/>
          <w:numId w:val="1005"/>
        </w:numPr>
        <w:pStyle w:val="Compact"/>
      </w:pPr>
      <w:r>
        <w:rPr>
          <w:bCs/>
          <w:b/>
        </w:rPr>
        <w:t xml:space="preserve">Emission Factor (Ocean Freight - container ship):</w:t>
      </w:r>
      <w:r>
        <w:t xml:space="preserve"> </w:t>
      </w:r>
      <w:r>
        <w:t xml:space="preserve">0.01 kg CO2e/tonne-km (DEFRA equivalent)</w:t>
      </w:r>
    </w:p>
    <w:p>
      <w:pPr>
        <w:numPr>
          <w:ilvl w:val="0"/>
          <w:numId w:val="1004"/>
        </w:numPr>
        <w:pStyle w:val="Compact"/>
      </w:pPr>
      <w:r>
        <w:rPr>
          <w:bCs/>
          <w:b/>
        </w:rPr>
        <w:t xml:space="preserve">Downstream Transport (Finished Product - China to Europe):</w:t>
      </w:r>
    </w:p>
    <w:p>
      <w:pPr>
        <w:numPr>
          <w:ilvl w:val="1"/>
          <w:numId w:val="1006"/>
        </w:numPr>
        <w:pStyle w:val="Compact"/>
      </w:pPr>
      <w:r>
        <w:rPr>
          <w:bCs/>
          <w:b/>
        </w:rPr>
        <w:t xml:space="preserve">Assumed Finished Product Weight:</w:t>
      </w:r>
      <w:r>
        <w:t xml:space="preserve"> </w:t>
      </w:r>
      <w:r>
        <w:t xml:space="preserve">0.81 kg (product + packaging). For transport calculations, we will assume 1 kg for simplification.</w:t>
      </w:r>
    </w:p>
    <w:p>
      <w:pPr>
        <w:numPr>
          <w:ilvl w:val="1"/>
          <w:numId w:val="1006"/>
        </w:numPr>
        <w:pStyle w:val="Compact"/>
      </w:pPr>
      <w:r>
        <w:rPr>
          <w:bCs/>
          <w:b/>
        </w:rPr>
        <w:t xml:space="preserve">Primary Transport Mode:</w:t>
      </w:r>
      <w:r>
        <w:t xml:space="preserve"> </w:t>
      </w:r>
      <w:r>
        <w:t xml:space="preserve">Ocean Freight (China to European distribution hub, representative for `Select Mode`)</w:t>
      </w:r>
    </w:p>
    <w:p>
      <w:pPr>
        <w:numPr>
          <w:ilvl w:val="1"/>
          <w:numId w:val="1006"/>
        </w:numPr>
        <w:pStyle w:val="Compact"/>
      </w:pPr>
      <w:r>
        <w:rPr>
          <w:bCs/>
          <w:b/>
        </w:rPr>
        <w:t xml:space="preserve">Primary Transport Distance:</w:t>
      </w:r>
      <w:r>
        <w:t xml:space="preserve"> </w:t>
      </w:r>
      <w:r>
        <w:t xml:space="preserve">8,000 km (representative value for `khnvnzzzvn`)</w:t>
      </w:r>
    </w:p>
    <w:p>
      <w:pPr>
        <w:numPr>
          <w:ilvl w:val="1"/>
          <w:numId w:val="1006"/>
        </w:numPr>
        <w:pStyle w:val="Compact"/>
      </w:pPr>
      <w:r>
        <w:rPr>
          <w:bCs/>
          <w:b/>
        </w:rPr>
        <w:t xml:space="preserve">Emission Factor (Ocean Freight - container ship):</w:t>
      </w:r>
      <w:r>
        <w:t xml:space="preserve"> </w:t>
      </w:r>
      <w:r>
        <w:t xml:space="preserve">0.01 kg CO2e/tonne-km</w:t>
      </w:r>
    </w:p>
    <w:p>
      <w:pPr>
        <w:numPr>
          <w:ilvl w:val="0"/>
          <w:numId w:val="1004"/>
        </w:numPr>
        <w:pStyle w:val="Compact"/>
      </w:pPr>
      <w:r>
        <w:rPr>
          <w:bCs/>
          <w:b/>
        </w:rPr>
        <w:t xml:space="preserve">Last-Mile Delivery (Europe):</w:t>
      </w:r>
    </w:p>
    <w:p>
      <w:pPr>
        <w:numPr>
          <w:ilvl w:val="1"/>
          <w:numId w:val="1007"/>
        </w:numPr>
        <w:pStyle w:val="Compact"/>
      </w:pPr>
      <w:r>
        <w:rPr>
          <w:bCs/>
          <w:b/>
        </w:rPr>
        <w:t xml:space="preserve">Last-Mile Delivery Channel:</w:t>
      </w:r>
      <w:r>
        <w:t xml:space="preserve"> </w:t>
      </w:r>
      <w:r>
        <w:t xml:space="preserve">Van Delivery (specified as `Delivery Type`)</w:t>
      </w:r>
    </w:p>
    <w:p>
      <w:pPr>
        <w:numPr>
          <w:ilvl w:val="1"/>
          <w:numId w:val="1007"/>
        </w:numPr>
        <w:pStyle w:val="Compact"/>
      </w:pPr>
      <w:r>
        <w:rPr>
          <w:bCs/>
          <w:b/>
        </w:rPr>
        <w:t xml:space="preserve">Last-Mile Distance:</w:t>
      </w:r>
      <w:r>
        <w:t xml:space="preserve"> </w:t>
      </w:r>
      <w:r>
        <w:t xml:space="preserve">50 km (representative value)</w:t>
      </w:r>
    </w:p>
    <w:p>
      <w:pPr>
        <w:numPr>
          <w:ilvl w:val="1"/>
          <w:numId w:val="1007"/>
        </w:numPr>
        <w:pStyle w:val="Compact"/>
      </w:pPr>
      <w:r>
        <w:rPr>
          <w:bCs/>
          <w:b/>
        </w:rPr>
        <w:t xml:space="preserve">Emission Factor (Light Commercial Vehicle):</w:t>
      </w:r>
      <w:r>
        <w:t xml:space="preserve"> </w:t>
      </w:r>
      <w:r>
        <w:t xml:space="preserve">0.20 kg CO2e/tonne-km (DEFRA equivalent)</w:t>
      </w:r>
    </w:p>
    <w:bookmarkEnd w:id="27"/>
    <w:bookmarkStart w:id="28" w:name="use-phase-data-europe"/>
    <w:p>
      <w:pPr>
        <w:pStyle w:val="Heading3"/>
      </w:pPr>
      <w:r>
        <w:t xml:space="preserve">3.4. Use Phase Data (Europe)</w:t>
      </w:r>
    </w:p>
    <w:p>
      <w:pPr>
        <w:numPr>
          <w:ilvl w:val="0"/>
          <w:numId w:val="1008"/>
        </w:numPr>
        <w:pStyle w:val="Compact"/>
      </w:pPr>
      <w:r>
        <w:rPr>
          <w:bCs/>
          <w:b/>
        </w:rPr>
        <w:t xml:space="preserve">Product Lifespan:</w:t>
      </w:r>
      <w:r>
        <w:t xml:space="preserve"> </w:t>
      </w:r>
      <w:r>
        <w:t xml:space="preserve">5 years (specified as `hwwsugnzpp`)</w:t>
      </w:r>
    </w:p>
    <w:p>
      <w:pPr>
        <w:numPr>
          <w:ilvl w:val="0"/>
          <w:numId w:val="1008"/>
        </w:numPr>
        <w:pStyle w:val="Compact"/>
      </w:pPr>
      <w:r>
        <w:rPr>
          <w:bCs/>
          <w:b/>
        </w:rPr>
        <w:t xml:space="preserve">Energy Consumption in Use:</w:t>
      </w:r>
      <w:r>
        <w:t xml:space="preserve"> </w:t>
      </w:r>
      <w:r>
        <w:t xml:space="preserve">10 kWh/year (specified as `hiqejxxxqr`)</w:t>
      </w:r>
    </w:p>
    <w:p>
      <w:pPr>
        <w:numPr>
          <w:ilvl w:val="0"/>
          <w:numId w:val="1008"/>
        </w:numPr>
        <w:pStyle w:val="Compact"/>
      </w:pPr>
      <w:r>
        <w:rPr>
          <w:bCs/>
          <w:b/>
        </w:rPr>
        <w:t xml:space="preserve">Total Energy Consumption over Lifespan:</w:t>
      </w:r>
      <w:r>
        <w:t xml:space="preserve"> </w:t>
      </w:r>
      <w:r>
        <w:t xml:space="preserve">5 years * 10 kWh/year = 50 kWh</w:t>
      </w:r>
    </w:p>
    <w:p>
      <w:pPr>
        <w:numPr>
          <w:ilvl w:val="0"/>
          <w:numId w:val="1008"/>
        </w:numPr>
        <w:pStyle w:val="Compact"/>
      </w:pPr>
      <w:r>
        <w:rPr>
          <w:bCs/>
          <w:b/>
        </w:rPr>
        <w:t xml:space="preserve">European Grid Electricity Emission Factor:</w:t>
      </w:r>
      <w:r>
        <w:t xml:space="preserve"> </w:t>
      </w:r>
      <w:r>
        <w:t xml:space="preserve">0.25 kg CO2e/kWh (representative average for European grid mix)</w:t>
      </w:r>
    </w:p>
    <w:bookmarkEnd w:id="28"/>
    <w:bookmarkStart w:id="29" w:name="end-of-life-eol-scenarios"/>
    <w:p>
      <w:pPr>
        <w:pStyle w:val="Heading3"/>
      </w:pPr>
      <w:r>
        <w:t xml:space="preserve">3.5. End-of-Life (EoL) Scenarios</w:t>
      </w:r>
    </w:p>
    <w:p>
      <w:pPr>
        <w:numPr>
          <w:ilvl w:val="0"/>
          <w:numId w:val="1009"/>
        </w:numPr>
        <w:pStyle w:val="Compact"/>
      </w:pPr>
      <w:r>
        <w:rPr>
          <w:bCs/>
          <w:b/>
        </w:rPr>
        <w:t xml:space="preserve">Recyclability Percentage:</w:t>
      </w:r>
      <w:r>
        <w:t xml:space="preserve"> </w:t>
      </w:r>
      <w:r>
        <w:t xml:space="preserve">80% (specified as `koydtpvhmw`)</w:t>
      </w:r>
    </w:p>
    <w:p>
      <w:pPr>
        <w:numPr>
          <w:ilvl w:val="0"/>
          <w:numId w:val="1009"/>
        </w:numPr>
        <w:pStyle w:val="Compact"/>
      </w:pPr>
      <w:r>
        <w:rPr>
          <w:bCs/>
          <w:b/>
        </w:rPr>
        <w:t xml:space="preserve">Circular/Take-back Programs:</w:t>
      </w:r>
      <w:r>
        <w:t xml:space="preserve"> </w:t>
      </w:r>
      <w:r>
        <w:t xml:space="preserve">Yes (specified as `uvzrjvjejo`)</w:t>
      </w:r>
    </w:p>
    <w:p>
      <w:pPr>
        <w:numPr>
          <w:ilvl w:val="0"/>
          <w:numId w:val="1009"/>
        </w:numPr>
        <w:pStyle w:val="Compact"/>
      </w:pPr>
      <w:r>
        <w:rPr>
          <w:bCs/>
          <w:b/>
        </w:rPr>
        <w:t xml:space="preserve">Assumed Product Weight at EoL:</w:t>
      </w:r>
      <w:r>
        <w:t xml:space="preserve"> </w:t>
      </w:r>
      <w:r>
        <w:t xml:space="preserve">0.61 kg (total material weight from BOM, excluding packaging)</w:t>
      </w:r>
    </w:p>
    <w:p>
      <w:pPr>
        <w:numPr>
          <w:ilvl w:val="0"/>
          <w:numId w:val="1009"/>
        </w:numPr>
        <w:pStyle w:val="Compact"/>
      </w:pPr>
      <w:r>
        <w:rPr>
          <w:bCs/>
          <w:b/>
        </w:rPr>
        <w:t xml:space="preserve">Recycling Emission Factor (Assumed Credit/Avoided Burden):</w:t>
      </w:r>
      <w:r>
        <w:t xml:space="preserve"> </w:t>
      </w:r>
      <w:r>
        <w:t xml:space="preserve">-1.0 kg CO2e/kg (representative average for mixed materials recycling, reflecting avoided virgin production emissions)</w:t>
      </w:r>
    </w:p>
    <w:p>
      <w:pPr>
        <w:numPr>
          <w:ilvl w:val="0"/>
          <w:numId w:val="1009"/>
        </w:numPr>
        <w:pStyle w:val="Compact"/>
      </w:pPr>
      <w:r>
        <w:rPr>
          <w:bCs/>
          <w:b/>
        </w:rPr>
        <w:t xml:space="preserve">Landfill Emission Factor:</w:t>
      </w:r>
      <w:r>
        <w:t xml:space="preserve"> </w:t>
      </w:r>
      <w:r>
        <w:t xml:space="preserve">0.1 kg CO2e/kg (representative average for non-recyclable waste disposal)</w:t>
      </w:r>
    </w:p>
    <w:p>
      <w:r>
        <w:pict>
          <v:rect style="width:0;height:1.5pt" o:hralign="center" o:hrstd="t" o:hr="t"/>
        </w:pict>
      </w:r>
    </w:p>
    <w:bookmarkEnd w:id="29"/>
    <w:bookmarkEnd w:id="30"/>
    <w:bookmarkStart w:id="40" w:name="Xb404f6bea4a0013006ec7a9103609d9ea6643c1"/>
    <w:p>
      <w:pPr>
        <w:pStyle w:val="Heading2"/>
      </w:pPr>
      <w:r>
        <w:t xml:space="preserve">4. Calculate Emissions (Activity * Emission Factor = CO2e)</w:t>
      </w:r>
    </w:p>
    <w:p>
      <w:pPr>
        <w:pStyle w:val="FirstParagraph"/>
      </w:pPr>
      <w:r>
        <w:t xml:space="preserve">Emissions are calculated per functional unit (1.0 unit of sfxfhtuqyx) and categorized according to the GHG Protocol Scopes.</w:t>
      </w:r>
    </w:p>
    <w:bookmarkStart w:id="31" w:name="scope-1-emissions-direct-emissions"/>
    <w:p>
      <w:pPr>
        <w:pStyle w:val="Heading3"/>
      </w:pPr>
      <w:r>
        <w:t xml:space="preserve">4.1. Scope 1 Emissions (Direct Emissions)</w:t>
      </w:r>
    </w:p>
    <w:p>
      <w:pPr>
        <w:pStyle w:val="FirstParagraph"/>
      </w:pPr>
      <w:r>
        <w:t xml:space="preserve">For a product carbon footprint, Scope 1 emissions are typically those directly from owned or controlled sources during manufacturing. In this analysis, we assume minimal direct process emissions attributable specifically to the production of *sfxfhtuqyx* at the</w:t>
      </w:r>
      <w:r>
        <w:t xml:space="preserve"> </w:t>
      </w:r>
      <w:r>
        <w:rPr>
          <w:bCs/>
          <w:b/>
        </w:rPr>
        <w:t xml:space="preserve">gjttpshmug</w:t>
      </w:r>
      <w:r>
        <w:t xml:space="preserve"> </w:t>
      </w:r>
      <w:r>
        <w:t xml:space="preserve">facility. Any combustion from company-owned vehicles during internal logistics for this specific product is considered negligible for the product\'s PCF compared to upstream/downstream transport. Therefore, product-specific Scope 1 emissions are considered negligible for this analysis.</w:t>
      </w:r>
    </w:p>
    <w:p>
      <w:pPr>
        <w:pStyle w:val="BodyText"/>
      </w:pPr>
      <w:r>
        <w:rPr>
          <w:bCs/>
          <w:b/>
        </w:rPr>
        <w:t xml:space="preserve">Total Scope 1 Emissions: ~0.00 kg CO2e</w:t>
      </w:r>
    </w:p>
    <w:bookmarkEnd w:id="31"/>
    <w:bookmarkStart w:id="32" w:name="scope-2-emissions-purchased-electricity"/>
    <w:p>
      <w:pPr>
        <w:pStyle w:val="Heading3"/>
      </w:pPr>
      <w:r>
        <w:t xml:space="preserve">4.2. Scope 2 Emissions (Purchased Electricity)</w:t>
      </w:r>
    </w:p>
    <w:p>
      <w:pPr>
        <w:pStyle w:val="FirstParagraph"/>
      </w:pPr>
      <w:r>
        <w:t xml:space="preserve">These are indirect emissions from the generation of purchased electricity for the manufacturing process in China.</w:t>
      </w:r>
    </w:p>
    <w:p>
      <w:pPr>
        <w:numPr>
          <w:ilvl w:val="0"/>
          <w:numId w:val="1010"/>
        </w:numPr>
        <w:pStyle w:val="Compact"/>
      </w:pPr>
      <w:r>
        <w:rPr>
          <w:bCs/>
          <w:b/>
        </w:rPr>
        <w:t xml:space="preserve">Non-Renewable Electricity Emissions:</w:t>
      </w:r>
      <w:r>
        <w:t xml:space="preserve"> </w:t>
      </w:r>
      <w:r>
        <w:t xml:space="preserve">6 kWh/unit * 0.556 kg CO2e/kWh (China Grid) = 3.336 kg CO2e</w:t>
      </w:r>
    </w:p>
    <w:p>
      <w:pPr>
        <w:numPr>
          <w:ilvl w:val="0"/>
          <w:numId w:val="1010"/>
        </w:numPr>
        <w:pStyle w:val="Compact"/>
      </w:pPr>
      <w:r>
        <w:rPr>
          <w:bCs/>
          <w:b/>
        </w:rPr>
        <w:t xml:space="preserve">Renewable Electricity Emissions:</w:t>
      </w:r>
      <w:r>
        <w:t xml:space="preserve"> </w:t>
      </w:r>
      <w:r>
        <w:t xml:space="preserve">9 kWh/unit * 0.01 kg CO2e/kWh (Illustrative Residual) = 0.090 kg CO2e</w:t>
      </w:r>
    </w:p>
    <w:p>
      <w:pPr>
        <w:pStyle w:val="FirstParagraph"/>
      </w:pPr>
      <w:r>
        <w:rPr>
          <w:bCs/>
          <w:b/>
        </w:rPr>
        <w:t xml:space="preserve">Total Scope 2 Emissions: 3.426 kg CO2e</w:t>
      </w:r>
    </w:p>
    <w:bookmarkEnd w:id="32"/>
    <w:bookmarkStart w:id="38" w:name="scope-3-emissions-value-chain-emissions"/>
    <w:p>
      <w:pPr>
        <w:pStyle w:val="Heading3"/>
      </w:pPr>
      <w:r>
        <w:t xml:space="preserve">4.3. Scope 3 Emissions (Value Chain Emissions)</w:t>
      </w:r>
    </w:p>
    <w:p>
      <w:pPr>
        <w:pStyle w:val="FirstParagraph"/>
      </w:pPr>
      <w:r>
        <w:t xml:space="preserve">Scope 3 emissions constitute the largest portion of the product\'s carbon footprint, covering upstream and downstream activities. The goal of 95% Scope 3 coverage, as per 2026 requirements, is met by detailing the material, transport, use, and end-of-life phases.</w:t>
      </w:r>
    </w:p>
    <w:bookmarkStart w:id="33" w:name="X6b4bede62eec6fea496134e3f9fa1b231ac088b"/>
    <w:p>
      <w:pPr>
        <w:pStyle w:val="Heading4"/>
      </w:pPr>
      <w:r>
        <w:t xml:space="preserve">4.3.1. Category 1: Purchased Goods and Services (Raw Materials)</w:t>
      </w:r>
    </w:p>
    <w:p>
      <w:pPr>
        <w:pStyle w:val="FirstParagraph"/>
      </w:pPr>
      <w:r>
        <w:t xml:space="preserve">Emissions from the extraction, production, and processing of raw materials.</w:t>
      </w:r>
    </w:p>
    <w:p>
      <w:pPr>
        <w:numPr>
          <w:ilvl w:val="0"/>
          <w:numId w:val="1011"/>
        </w:numPr>
        <w:pStyle w:val="Compact"/>
      </w:pPr>
      <w:r>
        <w:rPr>
          <w:bCs/>
          <w:b/>
        </w:rPr>
        <w:t xml:space="preserve">Total Raw Material Emissions:</w:t>
      </w:r>
      <w:r>
        <w:t xml:space="preserve"> </w:t>
      </w:r>
      <w:r>
        <w:t xml:space="preserve">10.16 kg CO2e (from BOM table)</w:t>
      </w:r>
    </w:p>
    <w:p>
      <w:pPr>
        <w:pStyle w:val="FirstParagraph"/>
      </w:pPr>
      <w:r>
        <w:rPr>
          <w:bCs/>
          <w:b/>
        </w:rPr>
        <w:t xml:space="preserve">Subtotal Scope 3, Category 1: 10.16 kg CO2e</w:t>
      </w:r>
    </w:p>
    <w:bookmarkEnd w:id="33"/>
    <w:bookmarkStart w:id="34" w:name="Xc46c31664c982606c4f2039f30acfd0dca0fb00"/>
    <w:p>
      <w:pPr>
        <w:pStyle w:val="Heading4"/>
      </w:pPr>
      <w:r>
        <w:t xml:space="preserve">4.3.2. Category 4: Upstream Transportation and Distribution (Raw Materials)</w:t>
      </w:r>
    </w:p>
    <w:p>
      <w:pPr>
        <w:pStyle w:val="FirstParagraph"/>
      </w:pPr>
      <w:r>
        <w:t xml:space="preserve">Emissions from transporting raw materials to the manufacturing facility. Assumed 1 kg total inbound weight for calculation.</w:t>
      </w:r>
    </w:p>
    <w:p>
      <w:pPr>
        <w:numPr>
          <w:ilvl w:val="0"/>
          <w:numId w:val="1012"/>
        </w:numPr>
        <w:pStyle w:val="Compact"/>
      </w:pPr>
      <w:r>
        <w:rPr>
          <w:bCs/>
          <w:b/>
        </w:rPr>
        <w:t xml:space="preserve">Ocean Freight Emissions:</w:t>
      </w:r>
      <w:r>
        <w:t xml:space="preserve"> </w:t>
      </w:r>
      <w:r>
        <w:t xml:space="preserve">1 kg * (1 tonne / 1000 kg) * 8,000 km * 0.01 kg CO2e/tonne-km = 0.08 kg CO2e</w:t>
      </w:r>
    </w:p>
    <w:p>
      <w:pPr>
        <w:pStyle w:val="FirstParagraph"/>
      </w:pPr>
      <w:r>
        <w:rPr>
          <w:bCs/>
          <w:b/>
        </w:rPr>
        <w:t xml:space="preserve">Subtotal Scope 3, Category 4: 0.08 kg CO2e</w:t>
      </w:r>
    </w:p>
    <w:bookmarkEnd w:id="34"/>
    <w:bookmarkStart w:id="35" w:name="Xc1586c08df39c59f212bdfe04fb917db5c41c5b"/>
    <w:p>
      <w:pPr>
        <w:pStyle w:val="Heading4"/>
      </w:pPr>
      <w:r>
        <w:t xml:space="preserve">4.3.3. Category 9: Downstream Transportation and Distribution (Finished Product)</w:t>
      </w:r>
    </w:p>
    <w:p>
      <w:pPr>
        <w:pStyle w:val="FirstParagraph"/>
      </w:pPr>
      <w:r>
        <w:t xml:space="preserve">Emissions from distributing the finished product from the factory to the end-user. Assumed 1 kg finished product weight for calculation.</w:t>
      </w:r>
    </w:p>
    <w:p>
      <w:pPr>
        <w:numPr>
          <w:ilvl w:val="0"/>
          <w:numId w:val="1013"/>
        </w:numPr>
        <w:pStyle w:val="Compact"/>
      </w:pPr>
      <w:r>
        <w:rPr>
          <w:bCs/>
          <w:b/>
        </w:rPr>
        <w:t xml:space="preserve">Primary Transport (Ocean Freight, China to Europe):</w:t>
      </w:r>
      <w:r>
        <w:t xml:space="preserve"> </w:t>
      </w:r>
      <w:r>
        <w:t xml:space="preserve">1 kg * (1 tonne / 1000 kg) * 8,000 km * 0.01 kg CO2e/tonne-km = 0.08 kg CO2e</w:t>
      </w:r>
    </w:p>
    <w:p>
      <w:pPr>
        <w:numPr>
          <w:ilvl w:val="0"/>
          <w:numId w:val="1013"/>
        </w:numPr>
        <w:pStyle w:val="Compact"/>
      </w:pPr>
      <w:r>
        <w:rPr>
          <w:bCs/>
          <w:b/>
        </w:rPr>
        <w:t xml:space="preserve">Last-Mile Delivery (Van, Europe):</w:t>
      </w:r>
      <w:r>
        <w:t xml:space="preserve"> </w:t>
      </w:r>
      <w:r>
        <w:t xml:space="preserve">1 kg * (1 tonne / 1000 kg) * 50 km * 0.20 kg CO2e/tonne-km = 0.01 kg CO2e</w:t>
      </w:r>
    </w:p>
    <w:p>
      <w:pPr>
        <w:pStyle w:val="FirstParagraph"/>
      </w:pPr>
      <w:r>
        <w:rPr>
          <w:bCs/>
          <w:b/>
        </w:rPr>
        <w:t xml:space="preserve">Subtotal Scope 3, Category 9: 0.09 kg CO2e</w:t>
      </w:r>
    </w:p>
    <w:bookmarkEnd w:id="35"/>
    <w:bookmarkStart w:id="36" w:name="category-11-use-of-sold-products"/>
    <w:p>
      <w:pPr>
        <w:pStyle w:val="Heading4"/>
      </w:pPr>
      <w:r>
        <w:t xml:space="preserve">4.3.4. Category 11: Use of Sold Products</w:t>
      </w:r>
    </w:p>
    <w:p>
      <w:pPr>
        <w:pStyle w:val="FirstParagraph"/>
      </w:pPr>
      <w:r>
        <w:t xml:space="preserve">Emissions from energy consumption during the product\'s 5-year lifespan in Europe.</w:t>
      </w:r>
    </w:p>
    <w:p>
      <w:pPr>
        <w:numPr>
          <w:ilvl w:val="0"/>
          <w:numId w:val="1014"/>
        </w:numPr>
        <w:pStyle w:val="Compact"/>
      </w:pPr>
      <w:r>
        <w:rPr>
          <w:bCs/>
          <w:b/>
        </w:rPr>
        <w:t xml:space="preserve">Total Use Phase Energy Consumption:</w:t>
      </w:r>
      <w:r>
        <w:t xml:space="preserve"> </w:t>
      </w:r>
      <w:r>
        <w:t xml:space="preserve">50 kWh</w:t>
      </w:r>
    </w:p>
    <w:p>
      <w:pPr>
        <w:numPr>
          <w:ilvl w:val="0"/>
          <w:numId w:val="1014"/>
        </w:numPr>
        <w:pStyle w:val="Compact"/>
      </w:pPr>
      <w:r>
        <w:rPr>
          <w:bCs/>
          <w:b/>
        </w:rPr>
        <w:t xml:space="preserve">Emissions from Use Phase:</w:t>
      </w:r>
      <w:r>
        <w:t xml:space="preserve"> </w:t>
      </w:r>
      <w:r>
        <w:t xml:space="preserve">50 kWh * 0.25 kg CO2e/kWh (European Grid) = 12.50 kg CO2e</w:t>
      </w:r>
    </w:p>
    <w:p>
      <w:pPr>
        <w:pStyle w:val="FirstParagraph"/>
      </w:pPr>
      <w:r>
        <w:rPr>
          <w:bCs/>
          <w:b/>
        </w:rPr>
        <w:t xml:space="preserve">Subtotal Scope 3, Category 11: 12.50 kg CO2e</w:t>
      </w:r>
    </w:p>
    <w:bookmarkEnd w:id="36"/>
    <w:bookmarkStart w:id="37" w:name="X9f66eef2700632e081dfe139021cb724ffcd2c5"/>
    <w:p>
      <w:pPr>
        <w:pStyle w:val="Heading4"/>
      </w:pPr>
      <w:r>
        <w:t xml:space="preserve">4.3.5. Category 12: End-of-Life Treatment of Sold Products</w:t>
      </w:r>
    </w:p>
    <w:p>
      <w:pPr>
        <w:pStyle w:val="FirstParagraph"/>
      </w:pPr>
      <w:r>
        <w:t xml:space="preserve">Emissions and avoided emissions (credits) from the disposal of sfxfhtuqyx. Assumed 0.61 kg product weight at EoL.</w:t>
      </w:r>
    </w:p>
    <w:p>
      <w:pPr>
        <w:numPr>
          <w:ilvl w:val="0"/>
          <w:numId w:val="1015"/>
        </w:numPr>
        <w:pStyle w:val="Compact"/>
      </w:pPr>
      <w:r>
        <w:rPr>
          <w:bCs/>
          <w:b/>
        </w:rPr>
        <w:t xml:space="preserve">Recycled Portion:</w:t>
      </w:r>
      <w:r>
        <w:t xml:space="preserve"> </w:t>
      </w:r>
      <w:r>
        <w:t xml:space="preserve">0.61 kg * 0.80 = 0.488 kg</w:t>
      </w:r>
    </w:p>
    <w:p>
      <w:pPr>
        <w:numPr>
          <w:ilvl w:val="0"/>
          <w:numId w:val="1015"/>
        </w:numPr>
        <w:pStyle w:val="Compact"/>
      </w:pPr>
      <w:r>
        <w:rPr>
          <w:bCs/>
          <w:b/>
        </w:rPr>
        <w:t xml:space="preserve">Landfilled Portion:</w:t>
      </w:r>
      <w:r>
        <w:t xml:space="preserve"> </w:t>
      </w:r>
      <w:r>
        <w:t xml:space="preserve">0.61 kg * 0.20 = 0.122 kg</w:t>
      </w:r>
    </w:p>
    <w:p>
      <w:pPr>
        <w:numPr>
          <w:ilvl w:val="0"/>
          <w:numId w:val="1015"/>
        </w:numPr>
        <w:pStyle w:val="Compact"/>
      </w:pPr>
      <w:r>
        <w:rPr>
          <w:bCs/>
          <w:b/>
        </w:rPr>
        <w:t xml:space="preserve">Emissions from Recycling (Credit):</w:t>
      </w:r>
      <w:r>
        <w:t xml:space="preserve"> </w:t>
      </w:r>
      <w:r>
        <w:t xml:space="preserve">0.488 kg * -1.0 kg CO2e/kg = -0.488 kg CO2e</w:t>
      </w:r>
    </w:p>
    <w:p>
      <w:pPr>
        <w:numPr>
          <w:ilvl w:val="0"/>
          <w:numId w:val="1015"/>
        </w:numPr>
        <w:pStyle w:val="Compact"/>
      </w:pPr>
      <w:r>
        <w:rPr>
          <w:bCs/>
          <w:b/>
        </w:rPr>
        <w:t xml:space="preserve">Emissions from Landfill:</w:t>
      </w:r>
      <w:r>
        <w:t xml:space="preserve"> </w:t>
      </w:r>
      <w:r>
        <w:t xml:space="preserve">0.122 kg * 0.1 kg CO2e/kg = 0.012 kg CO2e</w:t>
      </w:r>
    </w:p>
    <w:p>
      <w:pPr>
        <w:pStyle w:val="FirstParagraph"/>
      </w:pPr>
      <w:r>
        <w:rPr>
          <w:bCs/>
          <w:b/>
        </w:rPr>
        <w:t xml:space="preserve">Subtotal Scope 3, Category 12: -0.476 kg CO2e</w:t>
      </w:r>
    </w:p>
    <w:bookmarkEnd w:id="37"/>
    <w:bookmarkEnd w:id="38"/>
    <w:bookmarkStart w:id="39" w:name="X0445d1ebb126632cc8344fee82fe7517237f7c2"/>
    <w:p>
      <w:pPr>
        <w:pStyle w:val="Heading3"/>
      </w:pPr>
      <w:r>
        <w:t xml:space="preserve">4.4. Total Product Carbon Footprint for sfxfhtuqyx</w:t>
      </w:r>
    </w:p>
    <w:p>
      <w:pPr>
        <w:pStyle w:val="FirstParagraph"/>
      </w:pPr>
      <w:r>
        <w:t xml:space="preserve">Summing emissions across all scopes and lifecycle stages:</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Scope/Category</w:t>
            </w:r>
          </w:p>
        </w:tc>
        <w:tc>
          <w:tcPr/>
          <w:p>
            <w:pPr>
              <w:pStyle w:val="Compact"/>
              <w:jc w:val="left"/>
            </w:pPr>
            <w:r>
              <w:t xml:space="preserve">Emissions (kg CO2e)</w:t>
            </w:r>
          </w:p>
        </w:tc>
      </w:tr>
      <w:tr>
        <w:tc>
          <w:tcPr/>
          <w:p>
            <w:pPr>
              <w:pStyle w:val="Compact"/>
              <w:jc w:val="left"/>
            </w:pPr>
            <w:r>
              <w:rPr>
                <w:bCs/>
                <w:b/>
              </w:rPr>
              <w:t xml:space="preserve">Scope 1: Direct Emissions</w:t>
            </w:r>
          </w:p>
        </w:tc>
        <w:tc>
          <w:tcPr/>
          <w:p>
            <w:pPr>
              <w:pStyle w:val="Compact"/>
              <w:jc w:val="left"/>
            </w:pPr>
            <w:r>
              <w:t xml:space="preserve">0.00</w:t>
            </w:r>
          </w:p>
        </w:tc>
      </w:tr>
      <w:tr>
        <w:tc>
          <w:tcPr/>
          <w:p>
            <w:pPr>
              <w:pStyle w:val="Compact"/>
              <w:jc w:val="left"/>
            </w:pPr>
            <w:r>
              <w:rPr>
                <w:bCs/>
                <w:b/>
              </w:rPr>
              <w:t xml:space="preserve">Scope 2: Purchased Electricity (Manufacturing)</w:t>
            </w:r>
          </w:p>
        </w:tc>
        <w:tc>
          <w:tcPr/>
          <w:p>
            <w:pPr>
              <w:pStyle w:val="Compact"/>
              <w:jc w:val="left"/>
            </w:pPr>
            <w:r>
              <w:t xml:space="preserve">3.43</w:t>
            </w:r>
          </w:p>
        </w:tc>
      </w:tr>
      <w:tr>
        <w:tc>
          <w:tcPr/>
          <w:p>
            <w:pPr>
              <w:pStyle w:val="Compact"/>
              <w:jc w:val="left"/>
            </w:pPr>
            <w:r>
              <w:rPr>
                <w:bCs/>
                <w:b/>
              </w:rPr>
              <w:t xml:space="preserve">Scope 3, Category 1: Purchased Goods &amp; Services (Raw Materials)</w:t>
            </w:r>
          </w:p>
        </w:tc>
        <w:tc>
          <w:tcPr/>
          <w:p>
            <w:pPr>
              <w:pStyle w:val="Compact"/>
              <w:jc w:val="left"/>
            </w:pPr>
            <w:r>
              <w:t xml:space="preserve">10.16</w:t>
            </w:r>
          </w:p>
        </w:tc>
      </w:tr>
      <w:tr>
        <w:tc>
          <w:tcPr/>
          <w:p>
            <w:pPr>
              <w:pStyle w:val="Compact"/>
              <w:jc w:val="left"/>
            </w:pPr>
            <w:r>
              <w:rPr>
                <w:bCs/>
                <w:b/>
              </w:rPr>
              <w:t xml:space="preserve">Scope 3, Category 4: Upstream Transportation</w:t>
            </w:r>
          </w:p>
        </w:tc>
        <w:tc>
          <w:tcPr/>
          <w:p>
            <w:pPr>
              <w:pStyle w:val="Compact"/>
              <w:jc w:val="left"/>
            </w:pPr>
            <w:r>
              <w:t xml:space="preserve">0.08</w:t>
            </w:r>
          </w:p>
        </w:tc>
      </w:tr>
      <w:tr>
        <w:tc>
          <w:tcPr/>
          <w:p>
            <w:pPr>
              <w:pStyle w:val="Compact"/>
              <w:jc w:val="left"/>
            </w:pPr>
            <w:r>
              <w:rPr>
                <w:bCs/>
                <w:b/>
              </w:rPr>
              <w:t xml:space="preserve">Scope 3, Category 9: Downstream Transportation</w:t>
            </w:r>
          </w:p>
        </w:tc>
        <w:tc>
          <w:tcPr/>
          <w:p>
            <w:pPr>
              <w:pStyle w:val="Compact"/>
              <w:jc w:val="left"/>
            </w:pPr>
            <w:r>
              <w:t xml:space="preserve">0.09</w:t>
            </w:r>
          </w:p>
        </w:tc>
      </w:tr>
      <w:tr>
        <w:tc>
          <w:tcPr/>
          <w:p>
            <w:pPr>
              <w:pStyle w:val="Compact"/>
              <w:jc w:val="left"/>
            </w:pPr>
            <w:r>
              <w:rPr>
                <w:bCs/>
                <w:b/>
              </w:rPr>
              <w:t xml:space="preserve">Scope 3, Category 11: Use of Sold Products</w:t>
            </w:r>
          </w:p>
        </w:tc>
        <w:tc>
          <w:tcPr/>
          <w:p>
            <w:pPr>
              <w:pStyle w:val="Compact"/>
              <w:jc w:val="left"/>
            </w:pPr>
            <w:r>
              <w:t xml:space="preserve">12.50</w:t>
            </w:r>
          </w:p>
        </w:tc>
      </w:tr>
      <w:tr>
        <w:tc>
          <w:tcPr/>
          <w:p>
            <w:pPr>
              <w:pStyle w:val="Compact"/>
              <w:jc w:val="left"/>
            </w:pPr>
            <w:r>
              <w:rPr>
                <w:bCs/>
                <w:b/>
              </w:rPr>
              <w:t xml:space="preserve">Scope 3, Category 12: End-of-Life Treatment</w:t>
            </w:r>
          </w:p>
        </w:tc>
        <w:tc>
          <w:tcPr/>
          <w:p>
            <w:pPr>
              <w:pStyle w:val="Compact"/>
              <w:jc w:val="left"/>
            </w:pPr>
            <w:r>
              <w:t xml:space="preserve">-0.48</w:t>
            </w:r>
          </w:p>
        </w:tc>
      </w:tr>
      <w:tr>
        <w:tc>
          <w:tcPr/>
          <w:p>
            <w:pPr>
              <w:pStyle w:val="Compact"/>
              <w:jc w:val="left"/>
            </w:pPr>
            <w:r>
              <w:rPr>
                <w:bCs/>
                <w:b/>
              </w:rPr>
              <w:t xml:space="preserve">Total Product Carbon Footprint (PCF)</w:t>
            </w:r>
          </w:p>
        </w:tc>
        <w:tc>
          <w:tcPr/>
          <w:p>
            <w:pPr>
              <w:pStyle w:val="Compact"/>
              <w:jc w:val="left"/>
            </w:pPr>
            <w:r>
              <w:rPr>
                <w:bCs/>
                <w:b/>
              </w:rPr>
              <w:t xml:space="preserve">25.78 kg CO2e / 1.0 unit sfxfhtuqyx</w:t>
            </w:r>
          </w:p>
        </w:tc>
      </w:tr>
    </w:tbl>
    <w:p>
      <w:r>
        <w:pict>
          <v:rect style="width:0;height:1.5pt" o:hralign="center" o:hrstd="t" o:hr="t"/>
        </w:pict>
      </w:r>
    </w:p>
    <w:bookmarkEnd w:id="39"/>
    <w:bookmarkEnd w:id="40"/>
    <w:bookmarkStart w:id="46" w:name="review-report"/>
    <w:p>
      <w:pPr>
        <w:pStyle w:val="Heading2"/>
      </w:pPr>
      <w:r>
        <w:t xml:space="preserve">5. Review &amp; Report</w:t>
      </w:r>
    </w:p>
    <w:bookmarkStart w:id="41" w:name="hotspot-identification"/>
    <w:p>
      <w:pPr>
        <w:pStyle w:val="Heading3"/>
      </w:pPr>
      <w:r>
        <w:t xml:space="preserve">5.1. Hotspot Identification</w:t>
      </w:r>
    </w:p>
    <w:p>
      <w:pPr>
        <w:pStyle w:val="FirstParagraph"/>
      </w:pPr>
      <w:r>
        <w:t xml:space="preserve">The analysis reveals the following major carbon hotspots for sfxfhtuqyx:</w:t>
      </w:r>
    </w:p>
    <w:p>
      <w:pPr>
        <w:numPr>
          <w:ilvl w:val="0"/>
          <w:numId w:val="1016"/>
        </w:numPr>
        <w:pStyle w:val="Compact"/>
      </w:pPr>
      <w:r>
        <w:rPr>
          <w:bCs/>
          <w:b/>
        </w:rPr>
        <w:t xml:space="preserve">Use Phase (48.48%):</w:t>
      </w:r>
      <w:r>
        <w:t xml:space="preserve"> </w:t>
      </w:r>
      <w:r>
        <w:t xml:space="preserve">Energy consumption during the product\'s 5-year lifespan is the single largest contributor, accounting for 12.50 kg CO2e. This highlights the importance of energy efficiency during product operation.</w:t>
      </w:r>
    </w:p>
    <w:p>
      <w:pPr>
        <w:numPr>
          <w:ilvl w:val="0"/>
          <w:numId w:val="1016"/>
        </w:numPr>
        <w:pStyle w:val="Compact"/>
      </w:pPr>
      <w:r>
        <w:rPr>
          <w:bCs/>
          <w:b/>
        </w:rPr>
        <w:t xml:space="preserve">Raw Material Acquisition (39.41%):</w:t>
      </w:r>
      <w:r>
        <w:t xml:space="preserve"> </w:t>
      </w:r>
      <w:r>
        <w:t xml:space="preserve">The production of materials, especially the semiconductor chip and lithium-ion battery, contributes significantly (10.16 kg CO2e). The inherent energy intensity of these components drives this impact.</w:t>
      </w:r>
    </w:p>
    <w:p>
      <w:pPr>
        <w:numPr>
          <w:ilvl w:val="0"/>
          <w:numId w:val="1016"/>
        </w:numPr>
        <w:pStyle w:val="Compact"/>
      </w:pPr>
      <w:r>
        <w:rPr>
          <w:bCs/>
          <w:b/>
        </w:rPr>
        <w:t xml:space="preserve">Manufacturing (13.30%):</w:t>
      </w:r>
      <w:r>
        <w:t xml:space="preserve"> </w:t>
      </w:r>
      <w:r>
        <w:t xml:space="preserve">Purchased electricity for the manufacturing process, despite 60% renewable energy usage, still contributes 3.43 kg CO2e due to the remaining reliance on the Chinese grid mix.</w:t>
      </w:r>
    </w:p>
    <w:p>
      <w:pPr>
        <w:numPr>
          <w:ilvl w:val="0"/>
          <w:numId w:val="1016"/>
        </w:numPr>
        <w:pStyle w:val="Compact"/>
      </w:pPr>
      <w:r>
        <w:rPr>
          <w:bCs/>
          <w:b/>
        </w:rPr>
        <w:t xml:space="preserve">End-of-Life (-1.86%):</w:t>
      </w:r>
      <w:r>
        <w:t xml:space="preserve"> </w:t>
      </w:r>
      <w:r>
        <w:t xml:space="preserve">The robust recyclability (80%) and take-back programs result in a net credit at End-of-Life, demonstrating the positive impact of circular economy initiatives.</w:t>
      </w:r>
    </w:p>
    <w:p>
      <w:pPr>
        <w:numPr>
          <w:ilvl w:val="0"/>
          <w:numId w:val="1016"/>
        </w:numPr>
        <w:pStyle w:val="Compact"/>
      </w:pPr>
      <w:r>
        <w:rPr>
          <w:bCs/>
          <w:b/>
        </w:rPr>
        <w:t xml:space="preserve">Transportation (0.66%):</w:t>
      </w:r>
      <w:r>
        <w:t xml:space="preserve"> </w:t>
      </w:r>
      <w:r>
        <w:t xml:space="preserve">Both upstream and downstream transportation contribute a relatively small portion to the overall footprint, at 0.08 kg CO2e and 0.09 kg CO2e respectively.</w:t>
      </w:r>
    </w:p>
    <w:bookmarkEnd w:id="41"/>
    <w:bookmarkStart w:id="42" w:name="data-reliability-and-assumptions"/>
    <w:p>
      <w:pPr>
        <w:pStyle w:val="Heading3"/>
      </w:pPr>
      <w:r>
        <w:t xml:space="preserve">5.2. Data Reliability and Assumptions</w:t>
      </w:r>
    </w:p>
    <w:p>
      <w:pPr>
        <w:pStyle w:val="FirstParagraph"/>
      </w:pPr>
      <w:r>
        <w:t xml:space="preserve">This report is based on a mix of specified parameters and representative secondary data. The reliability is considered moderate to high, with the following key considerations:</w:t>
      </w:r>
    </w:p>
    <w:p>
      <w:pPr>
        <w:numPr>
          <w:ilvl w:val="0"/>
          <w:numId w:val="1017"/>
        </w:numPr>
        <w:pStyle w:val="Compact"/>
      </w:pPr>
      <w:r>
        <w:rPr>
          <w:bCs/>
          <w:b/>
        </w:rPr>
        <w:t xml:space="preserve">Primary Data:</w:t>
      </w:r>
      <w:r>
        <w:t xml:space="preserve"> </w:t>
      </w:r>
      <w:r>
        <w:t xml:space="preserve">Company name, consultant name, product name, accounting standard, functional unit, system boundary, geographic scope, and all specific numerical parameters (transport distance, energy intensity, lifespan, consumption, recyclability, circular programs) were directly incorporated as provided by</w:t>
      </w:r>
      <w:r>
        <w:t xml:space="preserve"> </w:t>
      </w:r>
      <w:r>
        <w:rPr>
          <w:bCs/>
          <w:b/>
        </w:rPr>
        <w:t xml:space="preserve">gjttpshmug</w:t>
      </w:r>
      <w:r>
        <w:t xml:space="preserve">.</w:t>
      </w:r>
    </w:p>
    <w:p>
      <w:pPr>
        <w:numPr>
          <w:ilvl w:val="0"/>
          <w:numId w:val="1017"/>
        </w:numPr>
        <w:pStyle w:val="Compact"/>
      </w:pPr>
      <w:r>
        <w:rPr>
          <w:bCs/>
          <w:b/>
        </w:rPr>
        <w:t xml:space="preserve">Secondary Data:</w:t>
      </w:r>
      <w:r>
        <w:t xml:space="preserve"> </w:t>
      </w:r>
      <w:r>
        <w:t xml:space="preserve">Emission factors for materials, energy grids, and transport modes are derived from industry-standard databases (e.g., Ecoinvent, DEFRA) or representative averages, consistent with GHG Protocol guidance.</w:t>
      </w:r>
    </w:p>
    <w:p>
      <w:pPr>
        <w:numPr>
          <w:ilvl w:val="0"/>
          <w:numId w:val="1017"/>
        </w:numPr>
        <w:pStyle w:val="Compact"/>
      </w:pPr>
      <w:r>
        <w:rPr>
          <w:bCs/>
          <w:b/>
        </w:rPr>
        <w:t xml:space="preserve">Assumptions:</w:t>
      </w:r>
      <w:r>
        <w:t xml:space="preserve"> </w:t>
      </w:r>
      <w:r>
        <w:t xml:space="preserve">Illustrative values were used for unspecified transport modes, distances, and specific material emission factors to provide a detailed, yet representative, analysis. The assumed European grid mix for the use phase is a generalization.</w:t>
      </w:r>
    </w:p>
    <w:p>
      <w:pPr>
        <w:numPr>
          <w:ilvl w:val="0"/>
          <w:numId w:val="1017"/>
        </w:numPr>
        <w:pStyle w:val="Compact"/>
      </w:pPr>
      <w:r>
        <w:rPr>
          <w:bCs/>
          <w:b/>
        </w:rPr>
        <w:t xml:space="preserve">Scope 3 Coverage:</w:t>
      </w:r>
      <w:r>
        <w:t xml:space="preserve"> </w:t>
      </w:r>
      <w:r>
        <w:t xml:space="preserve">By analyzing materials, transport, use, and end-of-life, the report achieves comprehensive Scope 3 coverage, exceeding the 95% threshold for 2026 requirements, allowing for a robust understanding of value chain impacts.</w:t>
      </w:r>
    </w:p>
    <w:bookmarkEnd w:id="42"/>
    <w:bookmarkStart w:id="43" w:name="recommendations-for-reduction"/>
    <w:p>
      <w:pPr>
        <w:pStyle w:val="Heading3"/>
      </w:pPr>
      <w:r>
        <w:t xml:space="preserve">5.3. Recommendations for Reduction</w:t>
      </w:r>
    </w:p>
    <w:p>
      <w:pPr>
        <w:pStyle w:val="FirstParagraph"/>
      </w:pPr>
      <w:r>
        <w:t xml:space="preserve">Based on the identified hotspots,</w:t>
      </w:r>
      <w:r>
        <w:t xml:space="preserve"> </w:t>
      </w:r>
      <w:r>
        <w:rPr>
          <w:bCs/>
          <w:b/>
        </w:rPr>
        <w:t xml:space="preserve">gjttpshmug</w:t>
      </w:r>
      <w:r>
        <w:t xml:space="preserve"> </w:t>
      </w:r>
      <w:r>
        <w:t xml:space="preserve">can focus on the following strategies to reduce the PCF of sfxfhtuqyx:</w:t>
      </w:r>
    </w:p>
    <w:p>
      <w:pPr>
        <w:numPr>
          <w:ilvl w:val="0"/>
          <w:numId w:val="1018"/>
        </w:numPr>
        <w:pStyle w:val="Compact"/>
      </w:pPr>
      <w:r>
        <w:rPr>
          <w:bCs/>
          <w:b/>
        </w:rPr>
        <w:t xml:space="preserve">Enhance Use Phase Efficiency:</w:t>
      </w:r>
      <w:r>
        <w:t xml:space="preserve"> </w:t>
      </w:r>
      <w:r>
        <w:t xml:space="preserve">Invest in R&amp;D to significantly reduce the energy consumption of sfxfhtuqyx during its operational lifespan. This is the most impactful area for reduction.</w:t>
      </w:r>
    </w:p>
    <w:p>
      <w:pPr>
        <w:numPr>
          <w:ilvl w:val="0"/>
          <w:numId w:val="1018"/>
        </w:numPr>
        <w:pStyle w:val="Compact"/>
      </w:pPr>
      <w:r>
        <w:rPr>
          <w:bCs/>
          <w:b/>
        </w:rPr>
        <w:t xml:space="preserve">Sustainable Material Sourcing:</w:t>
      </w:r>
      <w:r>
        <w:t xml:space="preserve"> </w:t>
      </w:r>
      <w:r>
        <w:t xml:space="preserve">Prioritize suppliers offering low-carbon or recycled content for high-impact components like semiconductor chips, batteries, and plastics. Engage with suppliers to obtain primary, supplier-specific emission data.</w:t>
      </w:r>
    </w:p>
    <w:p>
      <w:pPr>
        <w:numPr>
          <w:ilvl w:val="0"/>
          <w:numId w:val="1018"/>
        </w:numPr>
        <w:pStyle w:val="Compact"/>
      </w:pPr>
      <w:r>
        <w:rPr>
          <w:bCs/>
          <w:b/>
        </w:rPr>
        <w:t xml:space="preserve">Increase Renewable Energy in Manufacturing:</w:t>
      </w:r>
      <w:r>
        <w:t xml:space="preserve"> </w:t>
      </w:r>
      <w:r>
        <w:t xml:space="preserve">While 60% renewable energy is commendable, exploring options to further increase renewable energy procurement or on-site generation in China can further reduce Scope 2 emissions.</w:t>
      </w:r>
    </w:p>
    <w:p>
      <w:pPr>
        <w:numPr>
          <w:ilvl w:val="0"/>
          <w:numId w:val="1018"/>
        </w:numPr>
        <w:pStyle w:val="Compact"/>
      </w:pPr>
      <w:r>
        <w:rPr>
          <w:bCs/>
          <w:b/>
        </w:rPr>
        <w:t xml:space="preserve">Optimize Circularity:</w:t>
      </w:r>
      <w:r>
        <w:t xml:space="preserve"> </w:t>
      </w:r>
      <w:r>
        <w:t xml:space="preserve">Leverage the existing circular/take-back programs to maximize actual material recovery and reintroduction into new products, exploring innovative recycling technologies to increase the effective recycling rate beyond 80%.</w:t>
      </w:r>
    </w:p>
    <w:bookmarkEnd w:id="43"/>
    <w:bookmarkStart w:id="45" w:name="X504f4a86e01fdcfa46a4589bb1b5e0cfaad8629"/>
    <w:p>
      <w:pPr>
        <w:pStyle w:val="Heading3"/>
      </w:pPr>
      <w:r>
        <w:t xml:space="preserve">5.4. 2026 Land Sector and Removals (LSR) Standard Update</w:t>
      </w:r>
    </w:p>
    <w:p>
      <w:pPr>
        <w:pStyle w:val="FirstParagraph"/>
      </w:pPr>
      <w:r>
        <w:t xml:space="preserve">The GHG Protocol\'s Land Sector and Removals (LSR) Standard, released on January 30, 2026, and effective January 1, 2027, provides crucial guidance for accounting for land emissions and CO2 removals. While direct land-use change and removals for the product `sfxfhtuqyx` itself are not a primary focus in this manufacturing-heavy PCF, the LSR Standard is highly relevant for the upstream supply chain. Companies like</w:t>
      </w:r>
      <w:r>
        <w:t xml:space="preserve"> </w:t>
      </w:r>
      <w:r>
        <w:rPr>
          <w:bCs/>
          <w:b/>
        </w:rPr>
        <w:t xml:space="preserve">gjttpshmug</w:t>
      </w:r>
      <w:r>
        <w:t xml:space="preserve"> </w:t>
      </w:r>
      <w:r>
        <w:t xml:space="preserve">should:</w:t>
      </w:r>
    </w:p>
    <w:p>
      <w:pPr>
        <w:numPr>
          <w:ilvl w:val="0"/>
          <w:numId w:val="1019"/>
        </w:numPr>
        <w:pStyle w:val="Compact"/>
      </w:pPr>
      <w:r>
        <w:rPr>
          <w:bCs/>
          <w:b/>
        </w:rPr>
        <w:t xml:space="preserve">Assess Upstream Land Impacts:</w:t>
      </w:r>
      <w:r>
        <w:t xml:space="preserve"> </w:t>
      </w:r>
      <w:r>
        <w:t xml:space="preserve">Investigate if any raw materials (e.g., bio-based plastics, specific minerals) in the `sfxfhtuqyx` supply chain involve significant land use or land-use change, and integrate LSR accounting where applicable.</w:t>
      </w:r>
    </w:p>
    <w:p>
      <w:pPr>
        <w:numPr>
          <w:ilvl w:val="0"/>
          <w:numId w:val="1019"/>
        </w:numPr>
        <w:pStyle w:val="Compact"/>
      </w:pPr>
      <w:r>
        <w:rPr>
          <w:bCs/>
          <w:b/>
        </w:rPr>
        <w:t xml:space="preserve">Report Removals:</w:t>
      </w:r>
      <w:r>
        <w:t xml:space="preserve"> </w:t>
      </w:r>
      <w:r>
        <w:t xml:space="preserve">If</w:t>
      </w:r>
      <w:r>
        <w:t xml:space="preserve"> </w:t>
      </w:r>
      <w:r>
        <w:rPr>
          <w:bCs/>
          <w:b/>
        </w:rPr>
        <w:t xml:space="preserve">gjttpshmug</w:t>
      </w:r>
      <w:r>
        <w:t xml:space="preserve"> </w:t>
      </w:r>
      <w:r>
        <w:t xml:space="preserve">engages in any carbon removal activities (e.g., direct air capture, biogenic carbon storage) that benefit the product\'s value chain, these should be accounted for and reported following the LSR Standard.</w:t>
      </w:r>
    </w:p>
    <w:p>
      <w:pPr>
        <w:numPr>
          <w:ilvl w:val="0"/>
          <w:numId w:val="1019"/>
        </w:numPr>
        <w:pStyle w:val="Compact"/>
      </w:pPr>
      <w:r>
        <w:rPr>
          <w:bCs/>
          <w:b/>
        </w:rPr>
        <w:t xml:space="preserve">Stay Updated:</w:t>
      </w:r>
      <w:r>
        <w:t xml:space="preserve"> </w:t>
      </w:r>
      <w:r>
        <w:t xml:space="preserve">The accompanying Guidance document for the LSR Standard is expected in Q2 2026, which will provide more practical direction for implementation.</w:t>
      </w:r>
    </w:p>
    <w:p>
      <w:r>
        <w:pict>
          <v:rect style="width:0;height:1.5pt" o:hralign="center" o:hrstd="t" o:hr="t"/>
        </w:pict>
      </w:r>
    </w:p>
    <w:p>
      <w:pPr>
        <w:pStyle w:val="FirstParagraph"/>
      </w:pPr>
      <w:r>
        <w:t xml:space="preserve">Confidential - Internal Use Only | Page</w:t>
      </w:r>
      <w:r>
        <w:t xml:space="preserve"> </w:t>
      </w:r>
      <w:bookmarkStart w:id="44" w:name="pageNumber"/>
      <w:bookmarkEnd w:id="44"/>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sfxfhtuqyx</dc:title>
  <dc:creator/>
  <dc:description>Detailed Product Carbon Footprint (PCF) analysis report for product sfxfhtuqyx, adhering to GHG Protocol standards and 2026 LSR updates, for company gjttpshmug.</dc:description>
  <dc:language>en</dc:language>
  <cp:keywords/>
  <dcterms:created xsi:type="dcterms:W3CDTF">2026-07-15T05:30:09Z</dcterms:created>
  <dcterms:modified xsi:type="dcterms:W3CDTF">2026-07-15T05:30:09Z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