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rhhxwsskpz</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t xml:space="preserve">For:</w:t>
      </w:r>
      <w:r>
        <w:t xml:space="preserve"> </w:t>
      </w:r>
      <w:r>
        <w:rPr>
          <w:bCs/>
          <w:b/>
        </w:rPr>
        <w:t xml:space="preserve">rhhxwsskpz</w:t>
      </w:r>
    </w:p>
    <w:p>
      <w:pPr>
        <w:pStyle w:val="BodyText"/>
      </w:pPr>
      <w:r>
        <w:t xml:space="preserve">Company Name:</w:t>
      </w:r>
      <w:r>
        <w:t xml:space="preserve"> </w:t>
      </w:r>
      <w:r>
        <w:rPr>
          <w:bCs/>
          <w:b/>
        </w:rPr>
        <w:t xml:space="preserve">xfovengwlx</w:t>
      </w:r>
    </w:p>
    <w:p>
      <w:pPr>
        <w:pStyle w:val="BodyText"/>
      </w:pPr>
      <w:r>
        <w:t xml:space="preserve">Senior Sustainability Consultant:</w:t>
      </w:r>
      <w:r>
        <w:t xml:space="preserve"> </w:t>
      </w:r>
      <w:r>
        <w:rPr>
          <w:bCs/>
          <w:b/>
        </w:rPr>
        <w:t xml:space="preserve">thijzwyzvh</w:t>
      </w:r>
    </w:p>
    <w:p>
      <w:pPr>
        <w:pStyle w:val="BodyText"/>
      </w:pPr>
      <w:r>
        <w:t xml:space="preserve">Accounting Standard:</w:t>
      </w:r>
      <w:r>
        <w:t xml:space="preserve"> </w:t>
      </w:r>
      <w:r>
        <w:rPr>
          <w:bCs/>
          <w:b/>
        </w:rPr>
        <w:t xml:space="preserve">GHG Protocol</w:t>
      </w:r>
    </w:p>
    <w:p>
      <w:pPr>
        <w:pStyle w:val="BodyText"/>
      </w:pPr>
      <w:r>
        <w:t xml:space="preserve">This report is generated based on available data and industry standards. While efforts have been made to ensure accuracy, the actual environmental impacts may vary depending on real-world conditions and data precision.</w:t>
      </w:r>
    </w:p>
    <w:bookmarkEnd w:id="20"/>
    <w:bookmarkStart w:id="21" w:name="Xb316d30dd67dbb0eec8519e85ba0dd9d0e2f2cc"/>
    <w:p>
      <w:pPr>
        <w:pStyle w:val="Heading1"/>
      </w:pPr>
      <w:r>
        <w:t xml:space="preserve">Product Carbon Footprint Analysis Report for rhhxwsskpz</w:t>
      </w:r>
    </w:p>
    <w:p>
      <w:pPr>
        <w:pStyle w:val="FirstParagraph"/>
      </w:pPr>
      <w:r>
        <w:rPr>
          <w:bCs/>
          <w:b/>
        </w:rPr>
        <w:t xml:space="preserve">Generated Date:</w:t>
      </w:r>
      <w:r>
        <w:t xml:space="preserve"> </w:t>
      </w:r>
      <w:r>
        <w:t xml:space="preserve">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rhhxwsskpz, manufactured by xfovengwlx. As Senior Sustainability Consultant thijzwyzvh, I have conducted this analysis following the Greenhouse Gas (GHG) Protocol standards, incorporating the latest 2026 Land Sector and Removals (LSR) update and aiming for at least 95% Scope 3 coverage. The assessment covers the entire product lifecycle from material acquisition to end-of-life, providing a comprehensive overview of greenhouse gas emissions (CO2e) associated with the functional unit of 1.0 unit of rhhxwsskpz. Key emission hotspots identified include material production, manufacturing energy consumption, and product use phase.</w:t>
      </w:r>
    </w:p>
    <w:p>
      <w:r>
        <w:pict>
          <v:rect style="width:0;height:1.5pt" o:hralign="center" o:hrstd="t" o:hr="t"/>
        </w:pict>
      </w:r>
    </w:p>
    <w:bookmarkEnd w:id="22"/>
    <w:bookmarkStart w:id="23" w:name="scope-definition"/>
    <w:p>
      <w:pPr>
        <w:pStyle w:val="Heading2"/>
      </w:pPr>
      <w:r>
        <w:t xml:space="preserve">1. Scope Definition</w:t>
      </w:r>
    </w:p>
    <w:p>
      <w:pPr>
        <w:pStyle w:val="FirstParagraph"/>
      </w:pPr>
      <w:r>
        <w:t xml:space="preserve">The first step in any PCF analysis is to clearly define the scope, ensuring consistency and comparability of results.</w:t>
      </w:r>
    </w:p>
    <w:p>
      <w:pPr>
        <w:numPr>
          <w:ilvl w:val="0"/>
          <w:numId w:val="1001"/>
        </w:numPr>
        <w:pStyle w:val="Compact"/>
      </w:pPr>
      <w:r>
        <w:rPr>
          <w:bCs/>
          <w:b/>
        </w:rPr>
        <w:t xml:space="preserve">Functional Unit:</w:t>
      </w:r>
      <w:r>
        <w:t xml:space="preserve"> </w:t>
      </w:r>
      <w:r>
        <w:t xml:space="preserve">1.0 unit of rhhxwsskpz. This unit serves as the reference basis for all emission calculations, allowing for consistent comparison of environmental performance.</w:t>
      </w:r>
    </w:p>
    <w:p>
      <w:pPr>
        <w:numPr>
          <w:ilvl w:val="0"/>
          <w:numId w:val="1001"/>
        </w:numPr>
        <w:pStyle w:val="Compact"/>
      </w:pPr>
      <w:r>
        <w:rPr>
          <w:bCs/>
          <w:b/>
        </w:rPr>
        <w:t xml:space="preserve">System Boundary:</w:t>
      </w:r>
      <w:r>
        <w:t xml:space="preserve"> </w:t>
      </w:r>
      <w:r>
        <w:t xml:space="preserve">Cradle-to-grave, with a primary focus on factory_gate for direct production and extended calculations for use and end-of-life phases as per specified parameters. This includes raw material acquisition, manufacturing, transport, use, and end-of-life.</w:t>
      </w:r>
    </w:p>
    <w:p>
      <w:pPr>
        <w:numPr>
          <w:ilvl w:val="0"/>
          <w:numId w:val="1001"/>
        </w:numPr>
        <w:pStyle w:val="Compact"/>
      </w:pPr>
      <w:r>
        <w:rPr>
          <w:bCs/>
          <w:b/>
        </w:rPr>
        <w:t xml:space="preserve">Geographic Scope:</w:t>
      </w:r>
      <w:r>
        <w:t xml:space="preserve"> </w:t>
      </w:r>
      <w:r>
        <w:t xml:space="preserve">Final Production Country: China, with a Supply Chain Focus on Europe. This specifies the regional context for emission factors related to energy grids, transport, and other localized processes.</w:t>
      </w:r>
    </w:p>
    <w:p>
      <w:pPr>
        <w:numPr>
          <w:ilvl w:val="0"/>
          <w:numId w:val="1001"/>
        </w:numPr>
        <w:pStyle w:val="Compact"/>
      </w:pPr>
      <w:r>
        <w:rPr>
          <w:bCs/>
          <w:b/>
        </w:rPr>
        <w:t xml:space="preserve">Accounting Standard:</w:t>
      </w:r>
      <w:r>
        <w:t xml:space="preserve"> </w:t>
      </w:r>
      <w:r>
        <w:t xml:space="preserve">This PCF analysis strictly adheres to the **GHG Protocol Product Standard**. This standard provides a comprehensive framework for measuring and reporting life cycle GHG emissions of products.</w:t>
      </w:r>
    </w:p>
    <w:p>
      <w:pPr>
        <w:numPr>
          <w:ilvl w:val="0"/>
          <w:numId w:val="1001"/>
        </w:numPr>
        <w:pStyle w:val="Compact"/>
      </w:pPr>
      <w:r>
        <w:rPr>
          <w:bCs/>
          <w:b/>
        </w:rPr>
        <w:t xml:space="preserve">Allocation:</w:t>
      </w:r>
      <w:r>
        <w:t xml:space="preserve"> </w:t>
      </w:r>
      <w:r>
        <w:t xml:space="preserve">Emissions are allocated directly to the functional unit based on mass and energy inputs.</w:t>
      </w:r>
    </w:p>
    <w:p>
      <w:r>
        <w:pict>
          <v:rect style="width:0;height:1.5pt" o:hralign="center" o:hrstd="t" o:hr="t"/>
        </w:pict>
      </w:r>
    </w:p>
    <w:bookmarkEnd w:id="23"/>
    <w:bookmarkStart w:id="29" w:name="lifecycle-mapping-3.-data-collection"/>
    <w:p>
      <w:pPr>
        <w:pStyle w:val="Heading2"/>
      </w:pPr>
      <w:r>
        <w:t xml:space="preserve">2. Lifecycle Mapping &amp; 3. Data Collection</w:t>
      </w:r>
    </w:p>
    <w:p>
      <w:pPr>
        <w:pStyle w:val="FirstParagraph"/>
      </w:pPr>
      <w:r>
        <w:t xml:space="preserve">This section details the lifecycle stages considered and the primary and secondary data points collected for the PCF analysis of rhhxwsskpz.</w:t>
      </w:r>
    </w:p>
    <w:bookmarkStart w:id="24" w:name="X5e85bf87d5df6d829325aaa1a65d15865dfbe31"/>
    <w:p>
      <w:pPr>
        <w:pStyle w:val="Heading3"/>
      </w:pPr>
      <w:r>
        <w:t xml:space="preserve">Material Acquisition &amp; Production (Scope 3 - Upstream)</w:t>
      </w:r>
    </w:p>
    <w:p>
      <w:pPr>
        <w:pStyle w:val="FirstParagraph"/>
      </w:pPr>
      <w:r>
        <w:t xml:space="preserve">The detailed Bill of Materials (BOM) for rhhxwsskpz, provided as "pslhinhk," forms the basis for calculating the emissions associated with raw material extraction and processing. Each item\'s specific quantity, unit, and total carbon impact (or emission factor) are directly incorporated into the calculation for high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3.0</w:t>
            </w:r>
          </w:p>
        </w:tc>
        <w:tc>
          <w:tcPr/>
          <w:p>
            <w:pPr>
              <w:pStyle w:val="Compact"/>
              <w:jc w:val="left"/>
            </w:pPr>
            <w:r>
              <w:t xml:space="preserve">4.5</w:t>
            </w:r>
          </w:p>
        </w:tc>
      </w:tr>
      <w:tr>
        <w:tc>
          <w:tcPr/>
          <w:p>
            <w:pPr>
              <w:pStyle w:val="Compact"/>
              <w:jc w:val="left"/>
            </w:pPr>
            <w:r>
              <w:t xml:space="preserve">3</w:t>
            </w:r>
          </w:p>
        </w:tc>
        <w:tc>
          <w:tcPr/>
          <w:p>
            <w:pPr>
              <w:pStyle w:val="Compact"/>
              <w:jc w:val="left"/>
            </w:pPr>
            <w:r>
              <w:t xml:space="preserve">Electronics</w:t>
            </w:r>
          </w:p>
        </w:tc>
        <w:tc>
          <w:tcPr/>
          <w:p>
            <w:pPr>
              <w:pStyle w:val="Compact"/>
              <w:jc w:val="left"/>
            </w:pPr>
            <w:r>
              <w:t xml:space="preserve">Component</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5.0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t xml:space="preserve">Total Product Mass (excluding packaging waste from production process, based on BOM): 4.3 kg.</w:t>
      </w:r>
    </w:p>
    <w:p>
      <w:pPr>
        <w:pStyle w:val="BodyText"/>
      </w:pPr>
      <w:r>
        <w:t xml:space="preserve">The emission factors used for materials, where not explicitly provided in the "Total Carbon" column, are industry-standard values from databases like Ecoinvent and DEFRA, reflecting typical production processes for these material categories.</w:t>
      </w:r>
    </w:p>
    <w:bookmarkEnd w:id="24"/>
    <w:bookmarkStart w:id="25" w:name="X15e180459278539f4cda07496b9cc3c52bd752c"/>
    <w:p>
      <w:pPr>
        <w:pStyle w:val="Heading3"/>
      </w:pPr>
      <w:r>
        <w:t xml:space="preserve">Manufacturing Energy Consumption (Scope 2 &amp; 3 - Upstream)</w:t>
      </w:r>
    </w:p>
    <w:p>
      <w:pPr>
        <w:numPr>
          <w:ilvl w:val="0"/>
          <w:numId w:val="1002"/>
        </w:numPr>
        <w:pStyle w:val="Compact"/>
      </w:pPr>
      <w:r>
        <w:rPr>
          <w:bCs/>
          <w:b/>
        </w:rPr>
        <w:t xml:space="preserve">Energy Intensity:</w:t>
      </w:r>
      <w:r>
        <w:t xml:space="preserve"> </w:t>
      </w:r>
      <w:r>
        <w:t xml:space="preserve">dkrqvxnowo kWh/unit (8 kWh/unit).</w:t>
      </w:r>
    </w:p>
    <w:p>
      <w:pPr>
        <w:numPr>
          <w:ilvl w:val="0"/>
          <w:numId w:val="1002"/>
        </w:numPr>
        <w:pStyle w:val="Compact"/>
      </w:pPr>
      <w:r>
        <w:rPr>
          <w:bCs/>
          <w:b/>
        </w:rPr>
        <w:t xml:space="preserve">Renewable Energy Usage:</w:t>
      </w:r>
      <w:r>
        <w:t xml:space="preserve"> </w:t>
      </w:r>
      <w:r>
        <w:t xml:space="preserve">hdrnsryqng % (60 %). This indicates that a significant portion of the energy consumed during manufacturing is sourced from renewable means.</w:t>
      </w:r>
    </w:p>
    <w:p>
      <w:pPr>
        <w:numPr>
          <w:ilvl w:val="0"/>
          <w:numId w:val="1002"/>
        </w:numPr>
        <w:pStyle w:val="Compact"/>
      </w:pPr>
      <w:r>
        <w:rPr>
          <w:bCs/>
          <w:b/>
        </w:rPr>
        <w:t xml:space="preserve">Geographic Context:</w:t>
      </w:r>
      <w:r>
        <w:t xml:space="preserve"> </w:t>
      </w:r>
      <w:r>
        <w:t xml:space="preserve">Manufacturing takes place in China. The average CO2 emission factor for China\'s grid electricity, as reported by the IEA for 2021, is approximately 0.6093 kg CO2e/kWh. Provincial grid carbon footprint factors in China exhibited a downward trend, though with interprovincial heterogeneity.</w:t>
      </w:r>
    </w:p>
    <w:bookmarkEnd w:id="25"/>
    <w:bookmarkStart w:id="26" w:name="X9795cd1974d18f66faafdaafe7a0219ede81315"/>
    <w:p>
      <w:pPr>
        <w:pStyle w:val="Heading3"/>
      </w:pPr>
      <w:r>
        <w:t xml:space="preserve">Transport &amp; Logistics (Scope 3 - Upstream &amp; Downstream)</w:t>
      </w:r>
    </w:p>
    <w:p>
      <w:pPr>
        <w:numPr>
          <w:ilvl w:val="0"/>
          <w:numId w:val="1003"/>
        </w:numPr>
        <w:pStyle w:val="Compact"/>
      </w:pPr>
      <w:r>
        <w:rPr>
          <w:bCs/>
          <w:b/>
        </w:rPr>
        <w:t xml:space="preserve">Transport Mode:</w:t>
      </w:r>
      <w:r>
        <w:t xml:space="preserve"> </w:t>
      </w:r>
      <w:r>
        <w:t xml:space="preserve">Select Mode (assumed to be Sea Freight for long haul and Road Freight for regional distribution).</w:t>
      </w:r>
    </w:p>
    <w:p>
      <w:pPr>
        <w:numPr>
          <w:ilvl w:val="0"/>
          <w:numId w:val="1003"/>
        </w:numPr>
        <w:pStyle w:val="Compact"/>
      </w:pPr>
      <w:r>
        <w:rPr>
          <w:bCs/>
          <w:b/>
        </w:rPr>
        <w:t xml:space="preserve">Transport Distance:</w:t>
      </w:r>
      <w:r>
        <w:t xml:space="preserve"> </w:t>
      </w:r>
      <w:r>
        <w:t xml:space="preserve">ljrvjeqhjq km (15000 km for main transport).</w:t>
      </w:r>
    </w:p>
    <w:p>
      <w:pPr>
        <w:numPr>
          <w:ilvl w:val="0"/>
          <w:numId w:val="1003"/>
        </w:numPr>
        <w:pStyle w:val="Compact"/>
      </w:pPr>
      <w:r>
        <w:rPr>
          <w:bCs/>
          <w:b/>
        </w:rPr>
        <w:t xml:space="preserve">Last-Mile Delivery Channel:</w:t>
      </w:r>
      <w:r>
        <w:t xml:space="preserve"> </w:t>
      </w:r>
      <w:r>
        <w:t xml:space="preserve">Delivery Type (assumed to be Road Van for last-mile delivery).</w:t>
      </w:r>
    </w:p>
    <w:p>
      <w:pPr>
        <w:numPr>
          <w:ilvl w:val="0"/>
          <w:numId w:val="1003"/>
        </w:numPr>
        <w:pStyle w:val="Compact"/>
      </w:pPr>
      <w:r>
        <w:rPr>
          <w:bCs/>
          <w:b/>
        </w:rPr>
        <w:t xml:space="preserve">Supply Chain Focus:</w:t>
      </w:r>
      <w:r>
        <w:t xml:space="preserve"> </w:t>
      </w:r>
      <w:r>
        <w:t xml:space="preserve">Europe Focused for distribution.</w:t>
      </w:r>
    </w:p>
    <w:p>
      <w:pPr>
        <w:pStyle w:val="FirstParagraph"/>
      </w:pPr>
      <w:r>
        <w:t xml:space="preserve">Emission factors for transport modes are based on industry standards:</w:t>
      </w:r>
    </w:p>
    <w:p>
      <w:pPr>
        <w:numPr>
          <w:ilvl w:val="0"/>
          <w:numId w:val="1004"/>
        </w:numPr>
        <w:pStyle w:val="Compact"/>
      </w:pPr>
      <w:r>
        <w:t xml:space="preserve">Sea Freight (Container Ship): ~0.016 kg CO2e/tonne-km.</w:t>
      </w:r>
    </w:p>
    <w:p>
      <w:pPr>
        <w:numPr>
          <w:ilvl w:val="0"/>
          <w:numId w:val="1004"/>
        </w:numPr>
        <w:pStyle w:val="Compact"/>
      </w:pPr>
      <w:r>
        <w:t xml:space="preserve">Road Freight (HGV): ~0.092 kg CO2e/tonne-km (Europe average).</w:t>
      </w:r>
    </w:p>
    <w:p>
      <w:pPr>
        <w:numPr>
          <w:ilvl w:val="0"/>
          <w:numId w:val="1004"/>
        </w:numPr>
        <w:pStyle w:val="Compact"/>
      </w:pPr>
      <w:r>
        <w:t xml:space="preserve">Last-Mile Delivery Van: ~0.249 kg CO2e/km (average van up to 3.5 tonnes). This factor is per km, not per tkm, so product weight might not be directly applied if assuming a fixed vehicle emission per km for the delivery.</w:t>
      </w:r>
    </w:p>
    <w:bookmarkEnd w:id="26"/>
    <w:bookmarkStart w:id="27" w:name="product-use-phase-scope-3---downstream"/>
    <w:p>
      <w:pPr>
        <w:pStyle w:val="Heading3"/>
      </w:pPr>
      <w:r>
        <w:t xml:space="preserve">Product Use Phase (Scope 3 - Downstream)</w:t>
      </w:r>
    </w:p>
    <w:p>
      <w:pPr>
        <w:numPr>
          <w:ilvl w:val="0"/>
          <w:numId w:val="1005"/>
        </w:numPr>
        <w:pStyle w:val="Compact"/>
      </w:pPr>
      <w:r>
        <w:rPr>
          <w:bCs/>
          <w:b/>
        </w:rPr>
        <w:t xml:space="preserve">Product Lifespan:</w:t>
      </w:r>
      <w:r>
        <w:t xml:space="preserve"> </w:t>
      </w:r>
      <w:r>
        <w:t xml:space="preserve">gziixdplsy years (3 years).</w:t>
      </w:r>
    </w:p>
    <w:p>
      <w:pPr>
        <w:numPr>
          <w:ilvl w:val="0"/>
          <w:numId w:val="1005"/>
        </w:numPr>
        <w:pStyle w:val="Compact"/>
      </w:pPr>
      <w:r>
        <w:rPr>
          <w:bCs/>
          <w:b/>
        </w:rPr>
        <w:t xml:space="preserve">Energy Consumption in Use:</w:t>
      </w:r>
      <w:r>
        <w:t xml:space="preserve"> </w:t>
      </w:r>
      <w:r>
        <w:t xml:space="preserve">rnnxwqhkvy kWh/year (15 kWh/year).</w:t>
      </w:r>
    </w:p>
    <w:p>
      <w:pPr>
        <w:numPr>
          <w:ilvl w:val="0"/>
          <w:numId w:val="1005"/>
        </w:numPr>
        <w:pStyle w:val="Compact"/>
      </w:pPr>
      <w:r>
        <w:rPr>
          <w:bCs/>
          <w:b/>
        </w:rPr>
        <w:t xml:space="preserve">Geographic Context:</w:t>
      </w:r>
      <w:r>
        <w:t xml:space="preserve"> </w:t>
      </w:r>
      <w:r>
        <w:t xml:space="preserve">Europe, impacting the electricity grid mix for energy consumption. The European Carbon Factor for 2024 reached a record low of 0.181 kg CO₂/kWh (181 kg CO₂/MWh).</w:t>
      </w:r>
    </w:p>
    <w:bookmarkEnd w:id="27"/>
    <w:bookmarkStart w:id="28" w:name="X2449e76f36fce2c9fec3c701a472f020b80894d"/>
    <w:p>
      <w:pPr>
        <w:pStyle w:val="Heading3"/>
      </w:pPr>
      <w:r>
        <w:t xml:space="preserve">End-of-Life (EoL) Scenarios (Scope 3 - Downstream)</w:t>
      </w:r>
    </w:p>
    <w:p>
      <w:pPr>
        <w:numPr>
          <w:ilvl w:val="0"/>
          <w:numId w:val="1006"/>
        </w:numPr>
        <w:pStyle w:val="Compact"/>
      </w:pPr>
      <w:r>
        <w:rPr>
          <w:bCs/>
          <w:b/>
        </w:rPr>
        <w:t xml:space="preserve">Recyclability Percentage:</w:t>
      </w:r>
      <w:r>
        <w:t xml:space="preserve"> </w:t>
      </w:r>
      <w:r>
        <w:t xml:space="preserve">xkorsuxugn % (80 %).</w:t>
      </w:r>
    </w:p>
    <w:p>
      <w:pPr>
        <w:numPr>
          <w:ilvl w:val="0"/>
          <w:numId w:val="1006"/>
        </w:numPr>
        <w:pStyle w:val="Compact"/>
      </w:pPr>
      <w:r>
        <w:rPr>
          <w:bCs/>
          <w:b/>
        </w:rPr>
        <w:t xml:space="preserve">Circular/Take-back Programs:</w:t>
      </w:r>
      <w:r>
        <w:t xml:space="preserve"> </w:t>
      </w:r>
      <w:r>
        <w:t xml:space="preserve">hzwemonorz (Established take-back program and material reprocessing).</w:t>
      </w:r>
    </w:p>
    <w:p>
      <w:pPr>
        <w:pStyle w:val="FirstParagraph"/>
      </w:pPr>
      <w:r>
        <w:t xml:space="preserve">These parameters indicate a strong focus on circularity and end-of-life management to mitigate environmental impact.</w:t>
      </w:r>
    </w:p>
    <w:p>
      <w:r>
        <w:pict>
          <v:rect style="width:0;height:1.5pt" o:hralign="center" o:hrstd="t" o:hr="t"/>
        </w:pict>
      </w:r>
    </w:p>
    <w:bookmarkEnd w:id="28"/>
    <w:bookmarkEnd w:id="29"/>
    <w:bookmarkStart w:id="38" w:name="emission-calculation"/>
    <w:p>
      <w:pPr>
        <w:pStyle w:val="Heading2"/>
      </w:pPr>
      <w:r>
        <w:t xml:space="preserve">4. Emission Calculation</w:t>
      </w:r>
    </w:p>
    <w:p>
      <w:pPr>
        <w:pStyle w:val="FirstParagraph"/>
      </w:pPr>
      <w:r>
        <w:t xml:space="preserve">Emissions are calculated using the formula: Activity Data × Emission Factor = CO2e. The results are categorized according to the GHG Protocol Scopes.</w:t>
      </w:r>
    </w:p>
    <w:bookmarkStart w:id="30" w:name="ghg-protocol-scopes-explained"/>
    <w:p>
      <w:pPr>
        <w:pStyle w:val="Heading3"/>
      </w:pPr>
      <w:r>
        <w:t xml:space="preserve">GHG Protocol Scopes Explained:</w:t>
      </w:r>
    </w:p>
    <w:p>
      <w:pPr>
        <w:numPr>
          <w:ilvl w:val="0"/>
          <w:numId w:val="1007"/>
        </w:numPr>
        <w:pStyle w:val="Compact"/>
      </w:pPr>
      <w:r>
        <w:rPr>
          <w:bCs/>
          <w:b/>
        </w:rPr>
        <w:t xml:space="preserve">Scope 1: Direct Emissions</w:t>
      </w:r>
      <w:r>
        <w:t xml:space="preserve"> </w:t>
      </w:r>
      <w:r>
        <w:t xml:space="preserve">from owned or controlled sources. (Not directly applicable at product level for PCF, often covered in corporate inventory).</w:t>
      </w:r>
    </w:p>
    <w:p>
      <w:pPr>
        <w:numPr>
          <w:ilvl w:val="0"/>
          <w:numId w:val="1007"/>
        </w:numPr>
        <w:pStyle w:val="Compact"/>
      </w:pPr>
      <w:r>
        <w:rPr>
          <w:bCs/>
          <w:b/>
        </w:rPr>
        <w:t xml:space="preserve">Scope 2: Indirect Emissions</w:t>
      </w:r>
      <w:r>
        <w:t xml:space="preserve"> </w:t>
      </w:r>
      <w:r>
        <w:t xml:space="preserve">from the generation of purchased energy. This includes electricity consumed in the manufacturing process.</w:t>
      </w:r>
    </w:p>
    <w:p>
      <w:pPr>
        <w:numPr>
          <w:ilvl w:val="0"/>
          <w:numId w:val="1007"/>
        </w:numPr>
        <w:pStyle w:val="Compact"/>
      </w:pPr>
      <w:r>
        <w:rPr>
          <w:bCs/>
          <w:b/>
        </w:rPr>
        <w:t xml:space="preserve">Scope 3: Other Indirect Emissions</w:t>
      </w:r>
      <w:r>
        <w:t xml:space="preserve"> </w:t>
      </w:r>
      <w:r>
        <w:t xml:space="preserve">that occur in the value chain of the reporting company, both upstream and downstream. This is typically the largest component of a product\'s carbon footprint and includes material production, transportation, use phase, and end-of-life.</w:t>
      </w:r>
    </w:p>
    <w:bookmarkEnd w:id="30"/>
    <w:bookmarkStart w:id="31" w:name="lsr-update-scope-3-compliance"/>
    <w:p>
      <w:pPr>
        <w:pStyle w:val="Heading3"/>
      </w:pPr>
      <w:r>
        <w:t xml:space="preserve">2026 LSR Update &amp; Scope 3 Compliance:</w:t>
      </w:r>
    </w:p>
    <w:p>
      <w:pPr>
        <w:pStyle w:val="FirstParagraph"/>
      </w:pPr>
      <w:r>
        <w:t xml:space="preserve">This analysis acknowledges and will apply the upcoming Land Sector and Removals (LSR) Standard for land use and carbon removals in future, more detailed assessments when specific land-use data becomes available. For current Scope 3 reporting, we ensure at least 95% coverage for relevant categories, aligning with 2026 requirements. Key Scope 3 categories covered here include purchased goods and services (materials), upstream transportation and distribution, downstream transportation and distribution, and use of sold products (use phase), and end-of-life treatment of sold products.</w:t>
      </w:r>
    </w:p>
    <w:bookmarkEnd w:id="31"/>
    <w:bookmarkStart w:id="37" w:name="X9a94e3ff411088b6840603bf5dc02c119d8e558"/>
    <w:p>
      <w:pPr>
        <w:pStyle w:val="Heading3"/>
      </w:pPr>
      <w:r>
        <w:t xml:space="preserve">Detailed Calculation Results (per 1.0 Functional Unit of rhhxwsskpz):</w:t>
      </w:r>
    </w:p>
    <w:bookmarkStart w:id="32" w:name="X24484cb267c27f1ddb5f57067fb1a562f9089ea"/>
    <w:p>
      <w:pPr>
        <w:pStyle w:val="Heading4"/>
      </w:pPr>
      <w:r>
        <w:t xml:space="preserve">1. Material Acquisition &amp; Production (Scope 3 - Upstream)</w:t>
      </w:r>
    </w:p>
    <w:p>
      <w:pPr>
        <w:pStyle w:val="FirstParagraph"/>
      </w:pPr>
      <w:r>
        <w:t xml:space="preserve">Based on the provided BOM, where "Total Carbon" is explicitly given for each component:</w:t>
      </w:r>
    </w:p>
    <w:p>
      <w:pPr>
        <w:numPr>
          <w:ilvl w:val="0"/>
          <w:numId w:val="1008"/>
        </w:numPr>
        <w:pStyle w:val="Compact"/>
      </w:pPr>
      <w:r>
        <w:t xml:space="preserve">Steel: 5.0 kg CO2e</w:t>
      </w:r>
    </w:p>
    <w:p>
      <w:pPr>
        <w:numPr>
          <w:ilvl w:val="0"/>
          <w:numId w:val="1008"/>
        </w:numPr>
        <w:pStyle w:val="Compact"/>
      </w:pPr>
      <w:r>
        <w:t xml:space="preserve">Plastic: 4.5 kg CO2e</w:t>
      </w:r>
    </w:p>
    <w:p>
      <w:pPr>
        <w:numPr>
          <w:ilvl w:val="0"/>
          <w:numId w:val="1008"/>
        </w:numPr>
        <w:pStyle w:val="Compact"/>
      </w:pPr>
      <w:r>
        <w:t xml:space="preserve">Electronics: 5.0 kg CO2e</w:t>
      </w:r>
    </w:p>
    <w:p>
      <w:pPr>
        <w:numPr>
          <w:ilvl w:val="0"/>
          <w:numId w:val="1008"/>
        </w:numPr>
        <w:pStyle w:val="Compact"/>
      </w:pPr>
      <w:r>
        <w:t xml:space="preserve">Packaging: 0.2 kg CO2e</w:t>
      </w:r>
    </w:p>
    <w:p>
      <w:pPr>
        <w:pStyle w:val="FirstParagraph"/>
      </w:pPr>
      <w:r>
        <w:rPr>
          <w:bCs/>
          <w:b/>
        </w:rPr>
        <w:t xml:space="preserve">Total Material Emissions:</w:t>
      </w:r>
      <w:r>
        <w:t xml:space="preserve"> </w:t>
      </w:r>
      <w:r>
        <w:t xml:space="preserve">5.0 + 4.5 + 5.0 + 0.2 =</w:t>
      </w:r>
      <w:r>
        <w:t xml:space="preserve"> </w:t>
      </w:r>
      <w:r>
        <w:rPr>
          <w:bCs/>
          <w:b/>
        </w:rPr>
        <w:t xml:space="preserve">14.7 kg CO2e</w:t>
      </w:r>
    </w:p>
    <w:bookmarkEnd w:id="32"/>
    <w:bookmarkStart w:id="33" w:name="manufacturing-energy-consumption-scope-2"/>
    <w:p>
      <w:pPr>
        <w:pStyle w:val="Heading4"/>
      </w:pPr>
      <w:r>
        <w:t xml:space="preserve">2. Manufacturing Energy Consumption (Scope 2)</w:t>
      </w:r>
    </w:p>
    <w:p>
      <w:pPr>
        <w:numPr>
          <w:ilvl w:val="0"/>
          <w:numId w:val="1009"/>
        </w:numPr>
        <w:pStyle w:val="Compact"/>
      </w:pPr>
      <w:r>
        <w:t xml:space="preserve">Energy Intensity: 8 kWh/unit</w:t>
      </w:r>
    </w:p>
    <w:p>
      <w:pPr>
        <w:numPr>
          <w:ilvl w:val="0"/>
          <w:numId w:val="1009"/>
        </w:numPr>
        <w:pStyle w:val="Compact"/>
      </w:pPr>
      <w:r>
        <w:t xml:space="preserve">Renewable Energy Usage: 60%</w:t>
      </w:r>
    </w:p>
    <w:p>
      <w:pPr>
        <w:numPr>
          <w:ilvl w:val="0"/>
          <w:numId w:val="1009"/>
        </w:numPr>
        <w:pStyle w:val="Compact"/>
      </w:pPr>
      <w:r>
        <w:t xml:space="preserve">Non-Renewable Energy: 8 kWh * (1 - 0.60) = 3.2 kWh</w:t>
      </w:r>
    </w:p>
    <w:p>
      <w:pPr>
        <w:numPr>
          <w:ilvl w:val="0"/>
          <w:numId w:val="1009"/>
        </w:numPr>
        <w:pStyle w:val="Compact"/>
      </w:pPr>
      <w:r>
        <w:t xml:space="preserve">China Grid Emission Factor: 0.6093 kg CO2e/kWh</w:t>
      </w:r>
    </w:p>
    <w:p>
      <w:pPr>
        <w:numPr>
          <w:ilvl w:val="0"/>
          <w:numId w:val="1009"/>
        </w:numPr>
        <w:pStyle w:val="Compact"/>
      </w:pPr>
      <w:r>
        <w:t xml:space="preserve">Emissions: 3.2 kWh * 0.6093 kg CO2e/kWh =</w:t>
      </w:r>
      <w:r>
        <w:t xml:space="preserve"> </w:t>
      </w:r>
      <w:r>
        <w:rPr>
          <w:bCs/>
          <w:b/>
        </w:rPr>
        <w:t xml:space="preserve">1.95 kg CO2e</w:t>
      </w:r>
    </w:p>
    <w:p>
      <w:pPr>
        <w:pStyle w:val="FirstParagraph"/>
      </w:pPr>
      <w:r>
        <w:rPr>
          <w:iCs/>
          <w:i/>
        </w:rPr>
        <w:t xml:space="preserve">Note: This calculation for Scope 2 assumes a market-based approach for renewable energy, where certified renewable energy has zero direct emissions. The upstream (Scope 3) emissions associated with the production and infrastructure of renewable energy are typically not included in Scope 2 but are part of broader Scope 3 reporting.</w:t>
      </w:r>
    </w:p>
    <w:bookmarkEnd w:id="33"/>
    <w:bookmarkStart w:id="34" w:name="X425ba9ad0bfb87e048a06a38464e36d81768840"/>
    <w:p>
      <w:pPr>
        <w:pStyle w:val="Heading4"/>
      </w:pPr>
      <w:r>
        <w:t xml:space="preserve">3. Transport &amp; Logistics (Scope 3 - Upstream &amp; Downstream)</w:t>
      </w:r>
    </w:p>
    <w:p>
      <w:pPr>
        <w:pStyle w:val="FirstParagraph"/>
      </w:pPr>
      <w:r>
        <w:t xml:space="preserve">Total product mass for transport: 4.3 kg = 0.0043 tonnes.</w:t>
      </w:r>
    </w:p>
    <w:p>
      <w:pPr>
        <w:numPr>
          <w:ilvl w:val="0"/>
          <w:numId w:val="1010"/>
        </w:numPr>
        <w:pStyle w:val="Compact"/>
      </w:pPr>
      <w:r>
        <w:rPr>
          <w:bCs/>
          <w:b/>
        </w:rPr>
        <w:t xml:space="preserve">Main Transport (Sea Freight from China to Europe):</w:t>
      </w:r>
    </w:p>
    <w:p>
      <w:pPr>
        <w:numPr>
          <w:ilvl w:val="1"/>
          <w:numId w:val="1011"/>
        </w:numPr>
        <w:pStyle w:val="Compact"/>
      </w:pPr>
      <w:r>
        <w:t xml:space="preserve">Distance: 15000 km</w:t>
      </w:r>
    </w:p>
    <w:p>
      <w:pPr>
        <w:numPr>
          <w:ilvl w:val="1"/>
          <w:numId w:val="1011"/>
        </w:numPr>
        <w:pStyle w:val="Compact"/>
      </w:pPr>
      <w:r>
        <w:t xml:space="preserve">Emission Factor: 0.016 kg CO2e/tonne-km</w:t>
      </w:r>
    </w:p>
    <w:p>
      <w:pPr>
        <w:numPr>
          <w:ilvl w:val="1"/>
          <w:numId w:val="1011"/>
        </w:numPr>
        <w:pStyle w:val="Compact"/>
      </w:pPr>
      <w:r>
        <w:t xml:space="preserve">Emissions: 0.0043 tonnes * 15000 km * 0.016 kg CO2e/tonne-km =</w:t>
      </w:r>
      <w:r>
        <w:t xml:space="preserve"> </w:t>
      </w:r>
      <w:r>
        <w:rPr>
          <w:bCs/>
          <w:b/>
        </w:rPr>
        <w:t xml:space="preserve">1.03 kg CO2e</w:t>
      </w:r>
    </w:p>
    <w:p>
      <w:pPr>
        <w:numPr>
          <w:ilvl w:val="0"/>
          <w:numId w:val="1010"/>
        </w:numPr>
        <w:pStyle w:val="Compact"/>
      </w:pPr>
      <w:r>
        <w:rPr>
          <w:bCs/>
          <w:b/>
        </w:rPr>
        <w:t xml:space="preserve">Regional/Last-Mile Delivery (Road Van in Europe):</w:t>
      </w:r>
    </w:p>
    <w:p>
      <w:pPr>
        <w:numPr>
          <w:ilvl w:val="1"/>
          <w:numId w:val="1012"/>
        </w:numPr>
        <w:pStyle w:val="Compact"/>
      </w:pPr>
      <w:r>
        <w:t xml:space="preserve">Assumed Last-Mile Distance: 50 km (as a placeholder, specific data was not provided for this segment)</w:t>
      </w:r>
    </w:p>
    <w:p>
      <w:pPr>
        <w:numPr>
          <w:ilvl w:val="1"/>
          <w:numId w:val="1012"/>
        </w:numPr>
        <w:pStyle w:val="Compact"/>
      </w:pPr>
      <w:r>
        <w:t xml:space="preserve">Emission Factor (Last-Mile Van): 0.249 kg CO2e/km</w:t>
      </w:r>
    </w:p>
    <w:p>
      <w:pPr>
        <w:numPr>
          <w:ilvl w:val="1"/>
          <w:numId w:val="1012"/>
        </w:numPr>
        <w:pStyle w:val="Compact"/>
      </w:pPr>
      <w:r>
        <w:t xml:space="preserve">Emissions: 50 km * 0.249 kg CO2e/km =</w:t>
      </w:r>
      <w:r>
        <w:t xml:space="preserve"> </w:t>
      </w:r>
      <w:r>
        <w:rPr>
          <w:bCs/>
          <w:b/>
        </w:rPr>
        <w:t xml:space="preserve">12.45 kg CO2e</w:t>
      </w:r>
    </w:p>
    <w:p>
      <w:pPr>
        <w:pStyle w:val="FirstParagraph"/>
      </w:pPr>
      <w:r>
        <w:rPr>
          <w:bCs/>
          <w:b/>
        </w:rPr>
        <w:t xml:space="preserve">Total Transport Emissions:</w:t>
      </w:r>
      <w:r>
        <w:t xml:space="preserve"> </w:t>
      </w:r>
      <w:r>
        <w:t xml:space="preserve">1.03 + 12.45 =</w:t>
      </w:r>
      <w:r>
        <w:t xml:space="preserve"> </w:t>
      </w:r>
      <w:r>
        <w:rPr>
          <w:bCs/>
          <w:b/>
        </w:rPr>
        <w:t xml:space="preserve">13.48 kg CO2e</w:t>
      </w:r>
    </w:p>
    <w:p>
      <w:pPr>
        <w:pStyle w:val="BodyText"/>
      </w:pPr>
      <w:r>
        <w:rPr>
          <w:iCs/>
          <w:i/>
        </w:rPr>
        <w:t xml:space="preserve">Note: The significant impact of last-mile delivery, even over a shorter distance, is due to the higher emission factor per km for vans compared to long-haul freight per tonne-km.</w:t>
      </w:r>
    </w:p>
    <w:bookmarkEnd w:id="34"/>
    <w:bookmarkStart w:id="35" w:name="product-use-phase-scope-3---downstream-1"/>
    <w:p>
      <w:pPr>
        <w:pStyle w:val="Heading4"/>
      </w:pPr>
      <w:r>
        <w:t xml:space="preserve">4. Product Use Phase (Scope 3 - Downstream)</w:t>
      </w:r>
    </w:p>
    <w:p>
      <w:pPr>
        <w:numPr>
          <w:ilvl w:val="0"/>
          <w:numId w:val="1013"/>
        </w:numPr>
        <w:pStyle w:val="Compact"/>
      </w:pPr>
      <w:r>
        <w:t xml:space="preserve">Product Lifespan: 3 years</w:t>
      </w:r>
    </w:p>
    <w:p>
      <w:pPr>
        <w:numPr>
          <w:ilvl w:val="0"/>
          <w:numId w:val="1013"/>
        </w:numPr>
        <w:pStyle w:val="Compact"/>
      </w:pPr>
      <w:r>
        <w:t xml:space="preserve">Annual Energy Consumption in Use: 15 kWh/year</w:t>
      </w:r>
    </w:p>
    <w:p>
      <w:pPr>
        <w:numPr>
          <w:ilvl w:val="0"/>
          <w:numId w:val="1013"/>
        </w:numPr>
        <w:pStyle w:val="Compact"/>
      </w:pPr>
      <w:r>
        <w:t xml:space="preserve">Total Energy Consumption over Lifespan: 15 kWh/year * 3 years = 45 kWh</w:t>
      </w:r>
    </w:p>
    <w:p>
      <w:pPr>
        <w:numPr>
          <w:ilvl w:val="0"/>
          <w:numId w:val="1013"/>
        </w:numPr>
        <w:pStyle w:val="Compact"/>
      </w:pPr>
      <w:r>
        <w:t xml:space="preserve">Europe Grid Emission Factor: 0.181 kg CO2e/kWh</w:t>
      </w:r>
    </w:p>
    <w:p>
      <w:pPr>
        <w:numPr>
          <w:ilvl w:val="0"/>
          <w:numId w:val="1013"/>
        </w:numPr>
        <w:pStyle w:val="Compact"/>
      </w:pPr>
      <w:r>
        <w:t xml:space="preserve">Emissions: 45 kWh * 0.181 kg CO2e/kWh =</w:t>
      </w:r>
      <w:r>
        <w:t xml:space="preserve"> </w:t>
      </w:r>
      <w:r>
        <w:rPr>
          <w:bCs/>
          <w:b/>
        </w:rPr>
        <w:t xml:space="preserve">8.15 kg CO2e</w:t>
      </w:r>
    </w:p>
    <w:bookmarkEnd w:id="35"/>
    <w:bookmarkStart w:id="36" w:name="X22bf9935b5cb9faa5a8752fa0ffdc118032ae8d"/>
    <w:p>
      <w:pPr>
        <w:pStyle w:val="Heading4"/>
      </w:pPr>
      <w:r>
        <w:t xml:space="preserve">5. End-of-Life (EoL) Scenarios (Scope 3 - Downstream)</w:t>
      </w:r>
    </w:p>
    <w:p>
      <w:pPr>
        <w:numPr>
          <w:ilvl w:val="0"/>
          <w:numId w:val="1014"/>
        </w:numPr>
        <w:pStyle w:val="Compact"/>
      </w:pPr>
      <w:r>
        <w:t xml:space="preserve">Recyclability Percentage: 80%</w:t>
      </w:r>
    </w:p>
    <w:p>
      <w:pPr>
        <w:numPr>
          <w:ilvl w:val="0"/>
          <w:numId w:val="1014"/>
        </w:numPr>
        <w:pStyle w:val="Compact"/>
      </w:pPr>
      <w:r>
        <w:t xml:space="preserve">Circular/Take-back Programs: Established take-back program and material reprocessing.</w:t>
      </w:r>
    </w:p>
    <w:p>
      <w:pPr>
        <w:pStyle w:val="FirstParagraph"/>
      </w:pPr>
      <w:r>
        <w:t xml:space="preserve">For EoL, a common approach is to allocate emissions based on the fate of the product. Assuming a credit for the recycled portion and a burden for the unrecycled portion:</w:t>
      </w:r>
    </w:p>
    <w:p>
      <w:pPr>
        <w:numPr>
          <w:ilvl w:val="0"/>
          <w:numId w:val="1015"/>
        </w:numPr>
        <w:pStyle w:val="Compact"/>
      </w:pPr>
      <w:r>
        <w:t xml:space="preserve">Emissions from unrecycled portion (20% of product mass, assuming incineration/landfill impact): 0.20 * (Estimated material EoL impact, e.g., 1.0 kg CO2e/kg for non-recycled waste) * 4.3 kg product = 0.86 kg CO2e (illustrative)</w:t>
      </w:r>
    </w:p>
    <w:p>
      <w:pPr>
        <w:numPr>
          <w:ilvl w:val="0"/>
          <w:numId w:val="1015"/>
        </w:numPr>
        <w:pStyle w:val="Compact"/>
      </w:pPr>
      <w:r>
        <w:t xml:space="preserve">Credits for recycled material (80%): Typically, avoided emissions from virgin material production are credited. For simplicity in this initial assessment, the net impact from recycling is often lower than virgin production. Given the "Established take-back program and material reprocessing", a significant reduction in EoL burden or even a net credit can be expected. For this report, we will assume the established circular programs effectively mitigate 80% of the potential EoL burden, resulting in a significantly reduced net impact. Without specific EoL emission factors for recycling and disposal for rhhxwsskpz\'s materials, a precise calculation for credit/burden is challenging.</w:t>
      </w:r>
    </w:p>
    <w:p>
      <w:pPr>
        <w:pStyle w:val="FirstParagraph"/>
      </w:pPr>
      <w:r>
        <w:rPr>
          <w:bCs/>
          <w:b/>
        </w:rPr>
        <w:t xml:space="preserve">Estimated Net End-of-Life Impact:</w:t>
      </w:r>
      <w:r>
        <w:t xml:space="preserve"> </w:t>
      </w:r>
      <w:r>
        <w:rPr>
          <w:bCs/>
          <w:b/>
        </w:rPr>
        <w:t xml:space="preserve">0.86 kg CO2e</w:t>
      </w:r>
      <w:r>
        <w:t xml:space="preserve"> </w:t>
      </w:r>
      <w:r>
        <w:t xml:space="preserve">(This is an illustrative burden for the unrecycled 20%, assuming the recycling system effectively manages the remaining 80% with minimal net emissions or credits. A more detailed EoL would require specific material-level EoL factors).</w:t>
      </w:r>
    </w:p>
    <w:p>
      <w:r>
        <w:pict>
          <v:rect style="width:0;height:1.5pt" o:hralign="center" o:hrstd="t" o:hr="t"/>
        </w:pict>
      </w:r>
    </w:p>
    <w:bookmarkEnd w:id="36"/>
    <w:bookmarkEnd w:id="37"/>
    <w:bookmarkEnd w:id="38"/>
    <w:bookmarkStart w:id="39" w:name="total-product-carbon-footprint-summary"/>
    <w:p>
      <w:pPr>
        <w:pStyle w:val="Heading2"/>
      </w:pPr>
      <w:r>
        <w:t xml:space="preserve">Total Product Carbon Footprint Summary</w:t>
      </w:r>
    </w:p>
    <w:p>
      <w:pPr>
        <w:pStyle w:val="FirstParagraph"/>
      </w:pPr>
      <w:r>
        <w:t xml:space="preserve">The aggregated Product Carbon Footprint for one functional unit of rhhxwsskpz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Production</w:t>
            </w:r>
          </w:p>
        </w:tc>
        <w:tc>
          <w:tcPr/>
          <w:p>
            <w:pPr>
              <w:pStyle w:val="Compact"/>
              <w:jc w:val="left"/>
            </w:pPr>
            <w:r>
              <w:t xml:space="preserve">Scope 3 (Upstream)</w:t>
            </w:r>
          </w:p>
        </w:tc>
        <w:tc>
          <w:tcPr/>
          <w:p>
            <w:pPr>
              <w:pStyle w:val="Compact"/>
              <w:jc w:val="left"/>
            </w:pPr>
            <w:r>
              <w:t xml:space="preserve">14.70</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1.95</w:t>
            </w:r>
          </w:p>
        </w:tc>
      </w:tr>
      <w:tr>
        <w:tc>
          <w:tcPr/>
          <w:p>
            <w:pPr>
              <w:pStyle w:val="Compact"/>
              <w:jc w:val="left"/>
            </w:pPr>
            <w:r>
              <w:t xml:space="preserve">Transport &amp; Logistics</w:t>
            </w:r>
          </w:p>
        </w:tc>
        <w:tc>
          <w:tcPr/>
          <w:p>
            <w:pPr>
              <w:pStyle w:val="Compact"/>
              <w:jc w:val="left"/>
            </w:pPr>
            <w:r>
              <w:t xml:space="preserve">Scope 3 (Upstream &amp; Downstream)</w:t>
            </w:r>
          </w:p>
        </w:tc>
        <w:tc>
          <w:tcPr/>
          <w:p>
            <w:pPr>
              <w:pStyle w:val="Compact"/>
              <w:jc w:val="left"/>
            </w:pPr>
            <w:r>
              <w:t xml:space="preserve">13.48</w:t>
            </w:r>
          </w:p>
        </w:tc>
      </w:tr>
      <w:tr>
        <w:tc>
          <w:tcPr/>
          <w:p>
            <w:pPr>
              <w:pStyle w:val="Compact"/>
              <w:jc w:val="left"/>
            </w:pPr>
            <w:r>
              <w:t xml:space="preserve">Product Use Phase</w:t>
            </w:r>
          </w:p>
        </w:tc>
        <w:tc>
          <w:tcPr/>
          <w:p>
            <w:pPr>
              <w:pStyle w:val="Compact"/>
              <w:jc w:val="left"/>
            </w:pPr>
            <w:r>
              <w:t xml:space="preserve">Scope 3 (Downstream)</w:t>
            </w:r>
          </w:p>
        </w:tc>
        <w:tc>
          <w:tcPr/>
          <w:p>
            <w:pPr>
              <w:pStyle w:val="Compact"/>
              <w:jc w:val="left"/>
            </w:pPr>
            <w:r>
              <w:t xml:space="preserve">8.15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0.86</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39.14 kg CO2e</w:t>
            </w:r>
          </w:p>
        </w:tc>
      </w:tr>
    </w:tbl>
    <w:p>
      <w:r>
        <w:pict>
          <v:rect style="width:0;height:1.5pt" o:hralign="center" o:hrstd="t" o:hr="t"/>
        </w:pict>
      </w:r>
    </w:p>
    <w:bookmarkEnd w:id="39"/>
    <w:bookmarkStart w:id="43" w:name="review-report"/>
    <w:p>
      <w:pPr>
        <w:pStyle w:val="Heading2"/>
      </w:pPr>
      <w:r>
        <w:t xml:space="preserve">5. Review &amp; Report</w:t>
      </w:r>
    </w:p>
    <w:bookmarkStart w:id="40" w:name="emission-hotspots"/>
    <w:p>
      <w:pPr>
        <w:pStyle w:val="Heading3"/>
      </w:pPr>
      <w:r>
        <w:t xml:space="preserve">Emission Hotspots:</w:t>
      </w:r>
    </w:p>
    <w:p>
      <w:pPr>
        <w:pStyle w:val="FirstParagraph"/>
      </w:pPr>
      <w:r>
        <w:t xml:space="preserve">Based on the calculations, the primary emission hotspots for rhhxwsskpz are:</w:t>
      </w:r>
    </w:p>
    <w:p>
      <w:pPr>
        <w:numPr>
          <w:ilvl w:val="0"/>
          <w:numId w:val="1016"/>
        </w:numPr>
        <w:pStyle w:val="Compact"/>
      </w:pPr>
      <w:r>
        <w:rPr>
          <w:bCs/>
          <w:b/>
        </w:rPr>
        <w:t xml:space="preserve">Material Acquisition &amp; Production (14.70 kg CO2e):</w:t>
      </w:r>
      <w:r>
        <w:t xml:space="preserve"> </w:t>
      </w:r>
      <w:r>
        <w:t xml:space="preserve">The raw materials, particularly steel, plastic, and electronics, contribute significantly to the overall footprint. This highlights the importance of sustainable sourcing and material efficiency.</w:t>
      </w:r>
    </w:p>
    <w:p>
      <w:pPr>
        <w:numPr>
          <w:ilvl w:val="0"/>
          <w:numId w:val="1016"/>
        </w:numPr>
        <w:pStyle w:val="Compact"/>
      </w:pPr>
      <w:r>
        <w:rPr>
          <w:bCs/>
          <w:b/>
        </w:rPr>
        <w:t xml:space="preserve">Transport &amp; Logistics (13.48 kg CO2e):</w:t>
      </w:r>
      <w:r>
        <w:t xml:space="preserve"> </w:t>
      </w:r>
      <w:r>
        <w:t xml:space="preserve">Both long-haul and especially last-mile delivery contribute substantially. Optimizing transport routes, selecting lower-emission modes (where feasible), and improving load factors can reduce this impact.</w:t>
      </w:r>
    </w:p>
    <w:p>
      <w:pPr>
        <w:numPr>
          <w:ilvl w:val="0"/>
          <w:numId w:val="1016"/>
        </w:numPr>
        <w:pStyle w:val="Compact"/>
      </w:pPr>
      <w:r>
        <w:rPr>
          <w:bCs/>
          <w:b/>
        </w:rPr>
        <w:t xml:space="preserve">Product Use Phase (8.15 kg CO2e):</w:t>
      </w:r>
      <w:r>
        <w:t xml:space="preserve"> </w:t>
      </w:r>
      <w:r>
        <w:t xml:space="preserve">Energy consumption during the product\'s lifespan is a notable contributor, emphasizing the need for energy-efficient design, especially in regions with higher grid emission factors.</w:t>
      </w:r>
    </w:p>
    <w:bookmarkEnd w:id="40"/>
    <w:bookmarkStart w:id="41" w:name="reliability-and-limitations"/>
    <w:p>
      <w:pPr>
        <w:pStyle w:val="Heading3"/>
      </w:pPr>
      <w:r>
        <w:t xml:space="preserve">Reliability and Limitations:</w:t>
      </w:r>
    </w:p>
    <w:p>
      <w:pPr>
        <w:pStyle w:val="FirstParagraph"/>
      </w:pPr>
      <w:r>
        <w:t xml:space="preserve">The reliability of this PCF analysis is contingent upon the accuracy and completeness of the provided input data and the chosen emission factors. Generic industry-average emission factors have been used where specific supplier- or process-specific data was unavailable. Future improvements could involve:</w:t>
      </w:r>
    </w:p>
    <w:p>
      <w:pPr>
        <w:numPr>
          <w:ilvl w:val="0"/>
          <w:numId w:val="1017"/>
        </w:numPr>
        <w:pStyle w:val="Compact"/>
      </w:pPr>
      <w:r>
        <w:t xml:space="preserve">Collecting primary data for all material production and processing steps.</w:t>
      </w:r>
    </w:p>
    <w:p>
      <w:pPr>
        <w:numPr>
          <w:ilvl w:val="0"/>
          <w:numId w:val="1017"/>
        </w:numPr>
        <w:pStyle w:val="Compact"/>
      </w:pPr>
      <w:r>
        <w:t xml:space="preserve">Obtaining supplier-specific emission factors for transportation and energy.</w:t>
      </w:r>
    </w:p>
    <w:p>
      <w:pPr>
        <w:numPr>
          <w:ilvl w:val="0"/>
          <w:numId w:val="1017"/>
        </w:numPr>
        <w:pStyle w:val="Compact"/>
      </w:pPr>
      <w:r>
        <w:t xml:space="preserve">Detailed modeling of the end-of-life processes, including specific energy and material recovery rates and associated emissions/credits.</w:t>
      </w:r>
    </w:p>
    <w:p>
      <w:pPr>
        <w:numPr>
          <w:ilvl w:val="0"/>
          <w:numId w:val="1017"/>
        </w:numPr>
        <w:pStyle w:val="Compact"/>
      </w:pPr>
      <w:r>
        <w:t xml:space="preserve">More granular geographic specificity for energy consumption in the use phase.</w:t>
      </w:r>
    </w:p>
    <w:p>
      <w:pPr>
        <w:numPr>
          <w:ilvl w:val="0"/>
          <w:numId w:val="1017"/>
        </w:numPr>
        <w:pStyle w:val="Compact"/>
      </w:pPr>
      <w:r>
        <w:t xml:space="preserve">Integration of actual land use and carbon removal data in accordance with the 2026 LSR Standard when such data is fully available and applicable.</w:t>
      </w:r>
    </w:p>
    <w:bookmarkEnd w:id="41"/>
    <w:bookmarkStart w:id="42" w:name="recommendations-for-reduction"/>
    <w:p>
      <w:pPr>
        <w:pStyle w:val="Heading3"/>
      </w:pPr>
      <w:r>
        <w:t xml:space="preserve">Recommendations for Reduction:</w:t>
      </w:r>
    </w:p>
    <w:p>
      <w:pPr>
        <w:numPr>
          <w:ilvl w:val="0"/>
          <w:numId w:val="1018"/>
        </w:numPr>
        <w:pStyle w:val="Compact"/>
      </w:pPr>
      <w:r>
        <w:rPr>
          <w:bCs/>
          <w:b/>
        </w:rPr>
        <w:t xml:space="preserve">Material Optimization:</w:t>
      </w:r>
      <w:r>
        <w:t xml:space="preserve"> </w:t>
      </w:r>
      <w:r>
        <w:t xml:space="preserve">Explore opportunities for using lower-carbon materials, increasing recycled content, or lightweighting components to reduce the impact of material acquisition.</w:t>
      </w:r>
    </w:p>
    <w:p>
      <w:pPr>
        <w:numPr>
          <w:ilvl w:val="0"/>
          <w:numId w:val="1018"/>
        </w:numPr>
        <w:pStyle w:val="Compact"/>
      </w:pPr>
      <w:r>
        <w:rPr>
          <w:bCs/>
          <w:b/>
        </w:rPr>
        <w:t xml:space="preserve">Energy Efficiency in Manufacturing:</w:t>
      </w:r>
      <w:r>
        <w:t xml:space="preserve"> </w:t>
      </w:r>
      <w:r>
        <w:t xml:space="preserve">Continue to invest in renewable energy sources and improve energy efficiency in production facilities in China.</w:t>
      </w:r>
    </w:p>
    <w:p>
      <w:pPr>
        <w:numPr>
          <w:ilvl w:val="0"/>
          <w:numId w:val="1018"/>
        </w:numPr>
        <w:pStyle w:val="Compact"/>
      </w:pPr>
      <w:r>
        <w:rPr>
          <w:bCs/>
          <w:b/>
        </w:rPr>
        <w:t xml:space="preserve">Supply Chain Optimization:</w:t>
      </w:r>
      <w:r>
        <w:t xml:space="preserve"> </w:t>
      </w:r>
      <w:r>
        <w:t xml:space="preserve">Investigate opportunities for consolidating shipments, optimizing transport modes, and utilizing local sourcing where possible to reduce transport distances and emissions.</w:t>
      </w:r>
    </w:p>
    <w:p>
      <w:pPr>
        <w:numPr>
          <w:ilvl w:val="0"/>
          <w:numId w:val="1018"/>
        </w:numPr>
        <w:pStyle w:val="Compact"/>
      </w:pPr>
      <w:r>
        <w:rPr>
          <w:bCs/>
          <w:b/>
        </w:rPr>
        <w:t xml:space="preserve">Product Design for Longevity &amp; Efficiency:</w:t>
      </w:r>
      <w:r>
        <w:t xml:space="preserve"> </w:t>
      </w:r>
      <w:r>
        <w:t xml:space="preserve">Further enhance the energy efficiency of rhhxwsskpz during its use phase and explore modular designs for easier repair and upgrades, extending its lifespan.</w:t>
      </w:r>
    </w:p>
    <w:p>
      <w:pPr>
        <w:numPr>
          <w:ilvl w:val="0"/>
          <w:numId w:val="1018"/>
        </w:numPr>
        <w:pStyle w:val="Compact"/>
      </w:pPr>
      <w:r>
        <w:rPr>
          <w:bCs/>
          <w:b/>
        </w:rPr>
        <w:t xml:space="preserve">Circular Economy Initiatives:</w:t>
      </w:r>
      <w:r>
        <w:t xml:space="preserve"> </w:t>
      </w:r>
      <w:r>
        <w:t xml:space="preserve">Expand and promote the existing take-back programs to maximize recycling and material reprocessing, potentially exploring closed-loop systems.</w:t>
      </w:r>
    </w:p>
    <w:p>
      <w:r>
        <w:pict>
          <v:rect style="width:0;height:1.5pt" o:hralign="center" o:hrstd="t" o:hr="t"/>
        </w:pict>
      </w:r>
    </w:p>
    <w:bookmarkEnd w:id="42"/>
    <w:bookmarkEnd w:id="43"/>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rhhxwsskpz</dc:title>
  <dc:creator/>
  <dc:description>Detailed Product Carbon Footprint (PCF) analysis report for rhhxwsskpz by xfovengwlx, adhering to GHG Protocol and 2026 LSR Update standards.</dc:description>
  <dc:language>en</dc:language>
  <cp:keywords/>
  <dcterms:created xsi:type="dcterms:W3CDTF">2026-07-15T12:56:00Z</dcterms:created>
  <dcterms:modified xsi:type="dcterms:W3CDTF">2026-07-15T12:56:00Z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