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rdjummtmnh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rdjummtmnh</w:t>
      </w:r>
    </w:p>
    <w:p>
      <w:pPr>
        <w:pStyle w:val="BodyText"/>
      </w:pPr>
      <w:r>
        <w:t xml:space="preserve">Protocol Data (Accounting Standard): GHG Protocol</w:t>
      </w:r>
    </w:p>
    <w:p>
      <w:pPr>
        <w:pStyle w:val="BodyText"/>
      </w:pPr>
      <w:r>
        <w:t xml:space="preserve">Name of the Company: yspgfxngqx</w:t>
      </w:r>
    </w:p>
    <w:p>
      <w:pPr>
        <w:pStyle w:val="BodyText"/>
      </w:pPr>
      <w:r>
        <w:t xml:space="preserve">Senior Sustainability Consultant: poquwsgzef</w:t>
      </w:r>
    </w:p>
    <w:p>
      <w:pPr>
        <w:pStyle w:val="BodyText"/>
      </w:pPr>
      <w:r>
        <w:t xml:space="preserve">Disclaimer: This report is generated based on available data and industry standards. While efforts have been made for accuracy, actual emissions may vary based on specific operational details and evolving data. Some parameters were provided as generic strings, and illustrative placeholder values have been used to demonstrate calculations.</w:t>
      </w:r>
    </w:p>
    <w:bookmarkEnd w:id="20"/>
    <w:bookmarkStart w:id="45" w:name="Xf2a324699ce3c55b139ec8a1115ff0e686ad6c9"/>
    <w:p>
      <w:pPr>
        <w:pStyle w:val="Heading1"/>
      </w:pPr>
      <w:r>
        <w:t xml:space="preserve">Product Carbon Footprint Analysis Report - rdjummtmnh</w:t>
      </w:r>
    </w:p>
    <w:p>
      <w:pPr>
        <w:pStyle w:val="FirstParagraph"/>
      </w:pPr>
      <w:r>
        <w:rPr>
          <w:bCs/>
          <w:b/>
        </w:rPr>
        <w:t xml:space="preserve">Generated Date:</w:t>
      </w:r>
      <w:r>
        <w:t xml:space="preserve"> </w:t>
      </w:r>
      <w:r>
        <w:t xml:space="preserve">Friday, May 22, 2026</w:t>
      </w:r>
    </w:p>
    <w:p>
      <w:pPr>
        <w:pStyle w:val="BodyText"/>
      </w:pPr>
      <w:r>
        <w:rPr>
          <w:bCs/>
          <w:b/>
        </w:rPr>
        <w:t xml:space="preserve">Senior Sustainability Consultant:</w:t>
      </w:r>
      <w:r>
        <w:t xml:space="preserve"> </w:t>
      </w:r>
      <w:r>
        <w:t xml:space="preserve">poquwsgzef</w:t>
      </w:r>
    </w:p>
    <w:p>
      <w:pPr>
        <w:pStyle w:val="BodyText"/>
      </w:pPr>
      <w:r>
        <w:t xml:space="preserve">This report provides a high-detail Product Carbon Footprint (PCF) analysis for the product rdjummtmnh, manufactured by yspgfxngqx, adhering to the GHG Protocol. This analysis incorporates the 2026 Land Sector and Removals (LSR) Standard update and aims for at least 95% coverage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the lifecycle of product rdjummtmnh, from raw material acquisition to end-of-life, following the GHG Protocol standards. The total carbon footprint for one functional unit of rdjummtmnh is estimated to be [Calculated Total CO2e] kg CO2e. Key hotspots identified include material production, manufacturing energy consumption, and the use phase due to electricity consumption. The report highlights the importance of renewable energy adoption, optimized logistics, and circular economy principles in reducing the product\'s environmental impact. This assessment provides yspgfxngqx with actionable insights to drive decarbonization efforts across its value chain.</w:t>
      </w:r>
    </w:p>
    <w:p>
      <w:r>
        <w:pict>
          <v:rect style="width:0;height:1.5pt" o:hralign="center" o:hrstd="t" o:hr="t"/>
        </w:pict>
      </w:r>
    </w:p>
    <w:bookmarkEnd w:id="21"/>
    <w:bookmarkStart w:id="23" w:name="methodology-ghg-protocol-2026-lsr-update"/>
    <w:p>
      <w:pPr>
        <w:pStyle w:val="Heading2"/>
      </w:pPr>
      <w:r>
        <w:t xml:space="preserve">1. Methodology: GHG Protocol &amp; 2026 LSR Update</w:t>
      </w:r>
    </w:p>
    <w:p>
      <w:pPr>
        <w:pStyle w:val="FirstParagraph"/>
      </w:pPr>
      <w:r>
        <w:t xml:space="preserve">The Product Carbon Footprint (PCF) analysis for rdjummtmnh has been conducted following the Greenhouse Gas Protocol (GHG Protocol) Product Life Cycle Accounting and Reporting Standard. Emissions are categorized into Scope 1 (direct emissions), Scope 2 (indirect emissions from purchased energy), and Scope 3 (all other indirect emissions across the value chain).</w:t>
      </w:r>
    </w:p>
    <w:p>
      <w:pPr>
        <w:pStyle w:val="BodyText"/>
      </w:pPr>
      <w:r>
        <w:t xml:space="preserve">The 2026 Land Sector and Removals (LSR) Standard update has been integrated into the analysis. This standard provides accounting requirements and guidance for quantifying, reporting, and tracking land emissions, CO2 removals, and other relevant metrics, including those from biogenic products and technological CO2 removals. While rdjummtmnh is not explicitly an agricultural product, the LSR standard\'s principles are applied to ensure accurate accounting of any potential biogenic carbon impacts or removals from circularity at the end-of-life stage, aligning with the standard taking effect on January 1, 2027.</w:t>
      </w:r>
    </w:p>
    <w:p>
      <w:pPr>
        <w:pStyle w:val="BodyText"/>
      </w:pPr>
      <w:r>
        <w:t xml:space="preserve">A crucial aspect of this analysis is ensuring at least 95% coverage for Scope 3 emissions, as per 2026 requirements, to provide a comprehensive view of the product\'s value chain impact.</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rdjummtmnh</w:t>
      </w:r>
    </w:p>
    <w:p>
      <w:pPr>
        <w:numPr>
          <w:ilvl w:val="0"/>
          <w:numId w:val="1001"/>
        </w:numPr>
        <w:pStyle w:val="Compact"/>
      </w:pPr>
      <w:r>
        <w:rPr>
          <w:bCs/>
          <w:b/>
        </w:rPr>
        <w:t xml:space="preserve">System Boundary:</w:t>
      </w:r>
      <w:r>
        <w:t xml:space="preserve"> </w:t>
      </w:r>
      <w:r>
        <w:t xml:space="preserve">Cradle-to-grave, with a primary focus on the \'factory_gate\' for direct operational control, but extending to the full product lifecycle for comprehensive PCF calculation. This includes raw material acquisition, manufacturing, transport, use, and end-of-life.</w:t>
      </w:r>
    </w:p>
    <w:p>
      <w:pPr>
        <w:numPr>
          <w:ilvl w:val="0"/>
          <w:numId w:val="1001"/>
        </w:numPr>
        <w:pStyle w:val="Compact"/>
      </w:pPr>
      <w:r>
        <w:rPr>
          <w:bCs/>
          <w:b/>
        </w:rPr>
        <w:t xml:space="preserve">Geographic Scope:</w:t>
      </w:r>
      <w:r>
        <w:t xml:space="preserve"> </w:t>
      </w:r>
      <w:r>
        <w:t xml:space="preserve">Final Production Country: China, Supply Chain Focus: Europe Focused (for downstream elements like use phase energy and end-of-life).</w:t>
      </w:r>
    </w:p>
    <w:p>
      <w:pPr>
        <w:numPr>
          <w:ilvl w:val="0"/>
          <w:numId w:val="1001"/>
        </w:numPr>
        <w:pStyle w:val="Compact"/>
      </w:pPr>
      <w:r>
        <w:rPr>
          <w:bCs/>
          <w:b/>
        </w:rPr>
        <w:t xml:space="preserve">Accounting Standard:</w:t>
      </w:r>
      <w:r>
        <w:t xml:space="preserve"> </w:t>
      </w:r>
      <w:r>
        <w:t xml:space="preserve">GHG Protocol Product Life Cycle Accounting and Reporting Standard, incorporating the Corporate Standard and Scope 3 Standard.</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identified.</w:t>
      </w:r>
    </w:p>
    <w:p>
      <w:r>
        <w:pict>
          <v:rect style="width:0;height:1.5pt" o:hralign="center" o:hrstd="t" o:hr="t"/>
        </w:pict>
      </w:r>
    </w:p>
    <w:bookmarkEnd w:id="22"/>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 rdjummtmnh is mapped across the following stages, with data collected from various sources. Due to the generic string input for several parameters, illustrative numerical values have been used to demonstrate the calculation methodology, acknowledging that actual values would be required for a definitive report.</w:t>
      </w:r>
    </w:p>
    <w:bookmarkStart w:id="25" w:name="Xce01f47f0886ba9fbe45e511cfbdd8051ce0bf8"/>
    <w:p>
      <w:pPr>
        <w:pStyle w:val="Heading3"/>
      </w:pPr>
      <w:r>
        <w:t xml:space="preserve">2.1. Material Acquisition &amp; Production (Scope 3, Category 1: Purchased Goods &amp; Services)</w:t>
      </w:r>
    </w:p>
    <w:p>
      <w:pPr>
        <w:pStyle w:val="FirstParagraph"/>
      </w:pPr>
      <w:r>
        <w:t xml:space="preserve">The detailed Bill of Materials (BOM) for rdjummtmnh, identified as \'opfroyoy\', provides the basis for calculating upstream material impacts. As the literal string "opfroyoy" does not contain structured data, illustrative BOM data adhering to the specified format (ID, Description, Category, Process, Qty, Unit, Emission Factor, Total Carbon) is used to demonstrate the calculation. Industry-standard emission factors from databases like Ecoinvent/DEFRA would typically be used; however, as the prompt indicated "Emission Factor" and "Total Carbon" would be directly provided in the BOM, we illustrate with example factors here.</w:t>
      </w:r>
    </w:p>
    <w:bookmarkStart w:id="24" w:name="X9ed8ae74a502f3fc4caca02c521a4a92e587ab1"/>
    <w:p>
      <w:pPr>
        <w:pStyle w:val="Heading4"/>
      </w:pPr>
      <w:r>
        <w:t xml:space="preserve">Illustrative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 &amp; Solder</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bl>
    <w:p>
      <w:pPr>
        <w:pStyle w:val="BodyText"/>
      </w:pPr>
      <w:r>
        <w:rPr>
          <w:bCs/>
          <w:b/>
        </w:rPr>
        <w:t xml:space="preserve">Total Material Emissions (Illustrative):</w:t>
      </w:r>
      <w:r>
        <w:t xml:space="preserve"> </w:t>
      </w:r>
      <w:r>
        <w:t xml:space="preserve">4.20 kg CO2e</w:t>
      </w:r>
    </w:p>
    <w:bookmarkEnd w:id="24"/>
    <w:bookmarkEnd w:id="25"/>
    <w:bookmarkStart w:id="26" w:name="X85426b5205ced3b7dbee9ef0205501b7eeca226"/>
    <w:p>
      <w:pPr>
        <w:pStyle w:val="Heading3"/>
      </w:pPr>
      <w:r>
        <w:t xml:space="preserve">2.2. Manufacturing/Production Phase (Scope 2: Purchased Electricity)</w:t>
      </w:r>
    </w:p>
    <w:p>
      <w:pPr>
        <w:pStyle w:val="FirstParagraph"/>
      </w:pPr>
      <w:r>
        <w:t xml:space="preserve">The production of rdjummtmnh takes place in China. Energy consumption and renewable energy usage are critical factors.</w:t>
      </w:r>
    </w:p>
    <w:p>
      <w:pPr>
        <w:numPr>
          <w:ilvl w:val="0"/>
          <w:numId w:val="1002"/>
        </w:numPr>
        <w:pStyle w:val="Compact"/>
      </w:pPr>
      <w:r>
        <w:rPr>
          <w:bCs/>
          <w:b/>
        </w:rPr>
        <w:t xml:space="preserve">Energy Intensity (kWh/unit):</w:t>
      </w:r>
      <w:r>
        <w:t xml:space="preserve"> </w:t>
      </w:r>
      <w:r>
        <w:t xml:space="preserve">mzndqxmjxt (Illustrative: 2.5 kWh/unit)</w:t>
      </w:r>
    </w:p>
    <w:p>
      <w:pPr>
        <w:numPr>
          <w:ilvl w:val="0"/>
          <w:numId w:val="1002"/>
        </w:numPr>
        <w:pStyle w:val="Compact"/>
      </w:pPr>
      <w:r>
        <w:rPr>
          <w:bCs/>
          <w:b/>
        </w:rPr>
        <w:t xml:space="preserve">Renewable Energy Usage:</w:t>
      </w:r>
      <w:r>
        <w:t xml:space="preserve"> </w:t>
      </w:r>
      <w:r>
        <w:t xml:space="preserve">eegqitxmqn (Illustrative: 50%)</w:t>
      </w:r>
    </w:p>
    <w:p>
      <w:pPr>
        <w:numPr>
          <w:ilvl w:val="0"/>
          <w:numId w:val="1002"/>
        </w:numPr>
        <w:pStyle w:val="Compact"/>
      </w:pPr>
      <w:r>
        <w:rPr>
          <w:bCs/>
          <w:b/>
        </w:rPr>
        <w:t xml:space="preserve">Grid Emission Factor (China):</w:t>
      </w:r>
      <w:r>
        <w:t xml:space="preserve"> </w:t>
      </w:r>
      <w:r>
        <w:t xml:space="preserve">0.5568 kg CO2e/kWh (2021 MEE average)</w:t>
      </w:r>
    </w:p>
    <w:bookmarkEnd w:id="26"/>
    <w:bookmarkStart w:id="27" w:name="X267a9d4e01632d4209f60d4182f3de86db7a7f0"/>
    <w:p>
      <w:pPr>
        <w:pStyle w:val="Heading3"/>
      </w:pPr>
      <w:r>
        <w:t xml:space="preserve">2.3. Transport &amp; Distribution (Scope 3, Category 4 &amp; 9)</w:t>
      </w:r>
    </w:p>
    <w:p>
      <w:pPr>
        <w:pStyle w:val="FirstParagraph"/>
      </w:pPr>
      <w:r>
        <w:t xml:space="preserve">Logistics data includes primary transport and last-mile delivery.</w:t>
      </w:r>
    </w:p>
    <w:p>
      <w:pPr>
        <w:numPr>
          <w:ilvl w:val="0"/>
          <w:numId w:val="1003"/>
        </w:numPr>
        <w:pStyle w:val="Compact"/>
      </w:pPr>
      <w:r>
        <w:rPr>
          <w:bCs/>
          <w:b/>
        </w:rPr>
        <w:t xml:space="preserve">Primary Transport Mode:</w:t>
      </w:r>
      <w:r>
        <w:t xml:space="preserve"> </w:t>
      </w:r>
      <w:r>
        <w:t xml:space="preserve">Select Mode (Illustrative: Road Freight)</w:t>
      </w:r>
    </w:p>
    <w:p>
      <w:pPr>
        <w:numPr>
          <w:ilvl w:val="0"/>
          <w:numId w:val="1003"/>
        </w:numPr>
        <w:pStyle w:val="Compact"/>
      </w:pPr>
      <w:r>
        <w:rPr>
          <w:bCs/>
          <w:b/>
        </w:rPr>
        <w:t xml:space="preserve">Transport Distance (kvowghegmr):</w:t>
      </w:r>
      <w:r>
        <w:t xml:space="preserve"> </w:t>
      </w:r>
      <w:r>
        <w:t xml:space="preserve">Illustrative: 1000 km (for inbound materials/components to China production facility, assuming a generic average)</w:t>
      </w:r>
    </w:p>
    <w:p>
      <w:pPr>
        <w:numPr>
          <w:ilvl w:val="0"/>
          <w:numId w:val="1003"/>
        </w:numPr>
        <w:pStyle w:val="Compact"/>
      </w:pPr>
      <w:r>
        <w:rPr>
          <w:bCs/>
          <w:b/>
        </w:rPr>
        <w:t xml:space="preserve">Last-Mile Delivery Channel:</w:t>
      </w:r>
      <w:r>
        <w:t xml:space="preserve"> </w:t>
      </w:r>
      <w:r>
        <w:t xml:space="preserve">Delivery Type (Illustrative: Parcel Van - Road, for distribution to end-user in Europe)</w:t>
      </w:r>
    </w:p>
    <w:p>
      <w:pPr>
        <w:numPr>
          <w:ilvl w:val="0"/>
          <w:numId w:val="1003"/>
        </w:numPr>
        <w:pStyle w:val="Compact"/>
      </w:pPr>
      <w:r>
        <w:rPr>
          <w:bCs/>
          <w:b/>
        </w:rPr>
        <w:t xml:space="preserve">Last-Mile Delivery Distance:</w:t>
      </w:r>
      <w:r>
        <w:t xml:space="preserve"> </w:t>
      </w:r>
      <w:r>
        <w:t xml:space="preserve">Illustrative: 50 km</w:t>
      </w:r>
    </w:p>
    <w:p>
      <w:pPr>
        <w:numPr>
          <w:ilvl w:val="0"/>
          <w:numId w:val="1003"/>
        </w:numPr>
        <w:pStyle w:val="Compact"/>
      </w:pPr>
      <w:r>
        <w:rPr>
          <w:bCs/>
          <w:b/>
        </w:rPr>
        <w:t xml:space="preserve">Road Freight Emission Factor:</w:t>
      </w:r>
      <w:r>
        <w:t xml:space="preserve"> </w:t>
      </w:r>
      <w:r>
        <w:t xml:space="preserve">0.069 kgCO2e/tonne-km (GLEC)</w:t>
      </w:r>
    </w:p>
    <w:p>
      <w:pPr>
        <w:numPr>
          <w:ilvl w:val="0"/>
          <w:numId w:val="1003"/>
        </w:numPr>
        <w:pStyle w:val="Compact"/>
      </w:pPr>
      <w:r>
        <w:rPr>
          <w:bCs/>
          <w:b/>
        </w:rPr>
        <w:t xml:space="preserve">Assumed Product Weight for Transport:</w:t>
      </w:r>
      <w:r>
        <w:t xml:space="preserve"> </w:t>
      </w:r>
      <w:r>
        <w:t xml:space="preserve">1 kg (for functional unit of 1.0 unit)</w:t>
      </w:r>
    </w:p>
    <w:bookmarkEnd w:id="27"/>
    <w:bookmarkStart w:id="28" w:name="Xc8d47610e025d3b1fe367d676386ecee874efa3"/>
    <w:p>
      <w:pPr>
        <w:pStyle w:val="Heading3"/>
      </w:pPr>
      <w:r>
        <w:t xml:space="preserve">2.4. Use Phase (Scope 3, Category 11: Use of Sold Products)</w:t>
      </w:r>
    </w:p>
    <w:p>
      <w:pPr>
        <w:pStyle w:val="FirstParagraph"/>
      </w:pPr>
      <w:r>
        <w:t xml:space="preserve">The product\'s durability and energy consumption during its lifespan contribute significantly.</w:t>
      </w:r>
    </w:p>
    <w:p>
      <w:pPr>
        <w:numPr>
          <w:ilvl w:val="0"/>
          <w:numId w:val="1004"/>
        </w:numPr>
        <w:pStyle w:val="Compact"/>
      </w:pPr>
      <w:r>
        <w:rPr>
          <w:bCs/>
          <w:b/>
        </w:rPr>
        <w:t xml:space="preserve">Product Lifespan (yqsghelgpv):</w:t>
      </w:r>
      <w:r>
        <w:t xml:space="preserve"> </w:t>
      </w:r>
      <w:r>
        <w:t xml:space="preserve">Illustrative: 5 years</w:t>
      </w:r>
    </w:p>
    <w:p>
      <w:pPr>
        <w:numPr>
          <w:ilvl w:val="0"/>
          <w:numId w:val="1004"/>
        </w:numPr>
        <w:pStyle w:val="Compact"/>
      </w:pPr>
      <w:r>
        <w:rPr>
          <w:bCs/>
          <w:b/>
        </w:rPr>
        <w:t xml:space="preserve">Energy Consumption in Use (lzxgjljxjy):</w:t>
      </w:r>
      <w:r>
        <w:t xml:space="preserve"> </w:t>
      </w:r>
      <w:r>
        <w:t xml:space="preserve">Illustrative: 10 kWh/year</w:t>
      </w:r>
    </w:p>
    <w:p>
      <w:pPr>
        <w:numPr>
          <w:ilvl w:val="0"/>
          <w:numId w:val="1004"/>
        </w:numPr>
        <w:pStyle w:val="Compact"/>
      </w:pPr>
      <w:r>
        <w:rPr>
          <w:bCs/>
          <w:b/>
        </w:rPr>
        <w:t xml:space="preserve">Grid Emission Factor (Europe):</w:t>
      </w:r>
      <w:r>
        <w:t xml:space="preserve"> </w:t>
      </w:r>
      <w:r>
        <w:t xml:space="preserve">0.238 kg CO2e/kWh (EU average, 2019 data) (Assuming product is used in Europe, aligned with \'Supply Chain Focus: Europe Focused\')</w:t>
      </w:r>
    </w:p>
    <w:bookmarkEnd w:id="28"/>
    <w:bookmarkStart w:id="29" w:name="X22f9dae0edae5a4ebf0dcf5b8ca74de2c6ea5a4"/>
    <w:p>
      <w:pPr>
        <w:pStyle w:val="Heading3"/>
      </w:pPr>
      <w:r>
        <w:t xml:space="preserve">2.5. End-of-Life (EoL) Scenarios (Scope 3, Category 12: End-of-Life Treatment of Sold Products)</w:t>
      </w:r>
    </w:p>
    <w:p>
      <w:pPr>
        <w:pStyle w:val="FirstParagraph"/>
      </w:pPr>
      <w:r>
        <w:t xml:space="preserve">Circular economy impacts are considered at the end of the product\'s life.</w:t>
      </w:r>
    </w:p>
    <w:p>
      <w:pPr>
        <w:numPr>
          <w:ilvl w:val="0"/>
          <w:numId w:val="1005"/>
        </w:numPr>
        <w:pStyle w:val="Compact"/>
      </w:pPr>
      <w:r>
        <w:rPr>
          <w:bCs/>
          <w:b/>
        </w:rPr>
        <w:t xml:space="preserve">Recyclability Percentage (ptksvortwf):</w:t>
      </w:r>
      <w:r>
        <w:t xml:space="preserve"> </w:t>
      </w:r>
      <w:r>
        <w:t xml:space="preserve">Illustrative: 70%</w:t>
      </w:r>
    </w:p>
    <w:p>
      <w:pPr>
        <w:numPr>
          <w:ilvl w:val="0"/>
          <w:numId w:val="1005"/>
        </w:numPr>
        <w:pStyle w:val="Compact"/>
      </w:pPr>
      <w:r>
        <w:rPr>
          <w:bCs/>
          <w:b/>
        </w:rPr>
        <w:t xml:space="preserve">Circular/Take-back Programs (nztpjjlnrn):</w:t>
      </w:r>
      <w:r>
        <w:t xml:space="preserve"> </w:t>
      </w:r>
      <w:r>
        <w:t xml:space="preserve">Illustrative: Yes, established take-back program.</w:t>
      </w:r>
    </w:p>
    <w:p>
      <w:pPr>
        <w:numPr>
          <w:ilvl w:val="0"/>
          <w:numId w:val="1005"/>
        </w:numPr>
        <w:pStyle w:val="Compact"/>
      </w:pPr>
      <w:r>
        <w:rPr>
          <w:bCs/>
          <w:b/>
        </w:rPr>
        <w:t xml:space="preserve">Disposal (Landfill/Incineration) Emission Factor:</w:t>
      </w:r>
      <w:r>
        <w:t xml:space="preserve"> </w:t>
      </w:r>
      <w:r>
        <w:t xml:space="preserve">Illustrative: 1.0 kg CO2e/kg (for non-recycled waste, based on generic waste management factors)</w:t>
      </w:r>
    </w:p>
    <w:p>
      <w:pPr>
        <w:numPr>
          <w:ilvl w:val="0"/>
          <w:numId w:val="1005"/>
        </w:numPr>
        <w:pStyle w:val="Compact"/>
      </w:pPr>
      <w:r>
        <w:rPr>
          <w:bCs/>
          <w:b/>
        </w:rPr>
        <w:t xml:space="preserve">Avoided Emissions from Recycling:</w:t>
      </w:r>
      <w:r>
        <w:t xml:space="preserve"> </w:t>
      </w:r>
      <w:r>
        <w:t xml:space="preserve">Illustrative: -0.5 kg CO2e/kg (based on average savings from material recycling)</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rdjummtmnh is calculated by summing emissions across all lifecycle stages and categorized by GHG Protocol scopes.</w:t>
      </w:r>
    </w:p>
    <w:bookmarkStart w:id="31" w:name="scope-1-emissions-direct-emissions"/>
    <w:p>
      <w:pPr>
        <w:pStyle w:val="Heading3"/>
      </w:pPr>
      <w:r>
        <w:t xml:space="preserve">4.1. Scope 1 Emissions (Direct Emissions)</w:t>
      </w:r>
    </w:p>
    <w:p>
      <w:pPr>
        <w:pStyle w:val="FirstParagraph"/>
      </w:pPr>
      <w:r>
        <w:t xml:space="preserve">Based on the provided parameters, no direct (Scope 1) emissions from owned or controlled sources are explicitly identified or quantified for this product\'s lifecycle within the company\'s direct operations. These would typically include fuel combustion from company vehicles or on-site manufacturing processes. Therefore, for this report, Scope 1 emissions are considered negligible or not applicable based on the available data.</w:t>
      </w:r>
    </w:p>
    <w:p>
      <w:pPr>
        <w:pStyle w:val="BodyText"/>
      </w:pPr>
      <w:r>
        <w:rPr>
          <w:bCs/>
          <w:b/>
        </w:rPr>
        <w:t xml:space="preserve">Total Scope 1 Emissions:</w:t>
      </w:r>
      <w:r>
        <w:t xml:space="preserve"> </w:t>
      </w:r>
      <w:r>
        <w:t xml:space="preserve">0.00 kg CO2e</w:t>
      </w:r>
    </w:p>
    <w:bookmarkEnd w:id="31"/>
    <w:bookmarkStart w:id="32" w:name="scope-2-emissions-purchased-energy"/>
    <w:p>
      <w:pPr>
        <w:pStyle w:val="Heading3"/>
      </w:pPr>
      <w:r>
        <w:t xml:space="preserve">4.2. Scope 2 Emissions (Purchased Energy)</w:t>
      </w:r>
    </w:p>
    <w:p>
      <w:pPr>
        <w:pStyle w:val="FirstParagraph"/>
      </w:pPr>
      <w:r>
        <w:t xml:space="preserve">Scope 2 emissions arise from the purchased electricity used during the manufacturing phase in China.</w:t>
      </w:r>
    </w:p>
    <w:p>
      <w:pPr>
        <w:pStyle w:val="BodyText"/>
      </w:pPr>
      <w:r>
        <w:rPr>
          <w:bCs/>
          <w:b/>
        </w:rPr>
        <w:t xml:space="preserve">Production Energy Consumption:</w:t>
      </w:r>
      <w:r>
        <w:t xml:space="preserve"> </w:t>
      </w:r>
      <w:r>
        <w:t xml:space="preserve">2.5 kWh/unit (mzndqxmjxt)</w:t>
      </w:r>
      <w:r>
        <w:br/>
      </w:r>
      <w:r>
        <w:rPr>
          <w:bCs/>
          <w:b/>
        </w:rPr>
        <w:t xml:space="preserve">Non-Renewable Energy Share:</w:t>
      </w:r>
      <w:r>
        <w:t xml:space="preserve"> </w:t>
      </w:r>
      <w:r>
        <w:t xml:space="preserve">100% - 50% (eegqitxmqn) = 50%</w:t>
      </w:r>
      <w:r>
        <w:br/>
      </w:r>
      <w:r>
        <w:rPr>
          <w:bCs/>
          <w:b/>
        </w:rPr>
        <w:t xml:space="preserve">Electricity Grid Emission Factor (China):</w:t>
      </w:r>
      <w:r>
        <w:t xml:space="preserve"> </w:t>
      </w:r>
      <w:r>
        <w:t xml:space="preserve">0.5568 kg CO2e/kWh</w:t>
      </w:r>
      <w:r>
        <w:br/>
      </w:r>
      <w:r>
        <w:rPr>
          <w:bCs/>
          <w:b/>
        </w:rPr>
        <w:t xml:space="preserve">Scope 2 Emissions:</w:t>
      </w:r>
      <w:r>
        <w:t xml:space="preserve"> </w:t>
      </w:r>
      <w:r>
        <w:t xml:space="preserve">2.5 kWh/unit * 0.50 * 0.5568 kg CO2e/kWh = 0.696 kg CO2e</w:t>
      </w:r>
    </w:p>
    <w:p>
      <w:pPr>
        <w:pStyle w:val="BodyText"/>
      </w:pPr>
      <w:r>
        <w:rPr>
          <w:bCs/>
          <w:b/>
        </w:rPr>
        <w:t xml:space="preserve">Total Scope 2 Emissions:</w:t>
      </w:r>
      <w:r>
        <w:t xml:space="preserve"> </w:t>
      </w:r>
      <w:r>
        <w:t xml:space="preserve">0.696 kg CO2e</w:t>
      </w:r>
    </w:p>
    <w:bookmarkEnd w:id="32"/>
    <w:bookmarkStart w:id="38" w:name="scope-3-emissions-value-chain"/>
    <w:p>
      <w:pPr>
        <w:pStyle w:val="Heading3"/>
      </w:pPr>
      <w:r>
        <w:t xml:space="preserve">4.3. Scope 3 Emissions (Value Chain)</w:t>
      </w:r>
    </w:p>
    <w:bookmarkStart w:id="33" w:name="Xeb95e540fc9851a1e6cec7b12495eddc5ea8498"/>
    <w:p>
      <w:pPr>
        <w:pStyle w:val="Heading4"/>
      </w:pPr>
      <w:r>
        <w:t xml:space="preserve">4.3.1. Category 1: Purchased Goods and Services (Material Production)</w:t>
      </w:r>
    </w:p>
    <w:p>
      <w:pPr>
        <w:pStyle w:val="FirstParagraph"/>
      </w:pPr>
      <w:r>
        <w:t xml:space="preserve">Emissions from the extraction, production, and transportation (cradle-to-gate) of raw materials and components.</w:t>
      </w:r>
    </w:p>
    <w:p>
      <w:pPr>
        <w:pStyle w:val="BodyText"/>
      </w:pPr>
      <w:r>
        <w:rPr>
          <w:bCs/>
          <w:b/>
        </w:rPr>
        <w:t xml:space="preserve">Total Material Emissions (from Illustrative BOM):</w:t>
      </w:r>
      <w:r>
        <w:t xml:space="preserve"> </w:t>
      </w:r>
      <w:r>
        <w:t xml:space="preserve">4.20 kg CO2e</w:t>
      </w:r>
    </w:p>
    <w:bookmarkEnd w:id="33"/>
    <w:bookmarkStart w:id="34" w:name="Xce7a626661127f1244d0c27c9dd3a4a8e29286f"/>
    <w:p>
      <w:pPr>
        <w:pStyle w:val="Heading4"/>
      </w:pPr>
      <w:r>
        <w:t xml:space="preserve">4.3.2. Category 4: Upstream Transportation and Distribution (Primary Transport)</w:t>
      </w:r>
    </w:p>
    <w:p>
      <w:pPr>
        <w:pStyle w:val="FirstParagraph"/>
      </w:pPr>
      <w:r>
        <w:t xml:space="preserve">Emissions from the transportation of purchased materials and components to the production facility in China.</w:t>
      </w:r>
    </w:p>
    <w:p>
      <w:pPr>
        <w:pStyle w:val="BodyText"/>
      </w:pPr>
      <w:r>
        <w:rPr>
          <w:bCs/>
          <w:b/>
        </w:rPr>
        <w:t xml:space="preserve">Transport Mode:</w:t>
      </w:r>
      <w:r>
        <w:t xml:space="preserve"> </w:t>
      </w:r>
      <w:r>
        <w:t xml:space="preserve">Road Freight (Select Mode)</w:t>
      </w:r>
      <w:r>
        <w:br/>
      </w:r>
      <w:r>
        <w:rPr>
          <w:bCs/>
          <w:b/>
        </w:rPr>
        <w:t xml:space="preserve">Transport Distance:</w:t>
      </w:r>
      <w:r>
        <w:t xml:space="preserve"> </w:t>
      </w:r>
      <w:r>
        <w:t xml:space="preserve">1000 km (kvowghegmr)</w:t>
      </w:r>
      <w:r>
        <w:br/>
      </w:r>
      <w:r>
        <w:rPr>
          <w:bCs/>
          <w:b/>
        </w:rPr>
        <w:t xml:space="preserve">Product Weight (Functional Unit):</w:t>
      </w:r>
      <w:r>
        <w:t xml:space="preserve"> </w:t>
      </w:r>
      <w:r>
        <w:t xml:space="preserve">1 kg = 0.001 tonne</w:t>
      </w:r>
      <w:r>
        <w:br/>
      </w:r>
      <w:r>
        <w:rPr>
          <w:bCs/>
          <w:b/>
        </w:rPr>
        <w:t xml:space="preserve">Emission Factor:</w:t>
      </w:r>
      <w:r>
        <w:t xml:space="preserve"> </w:t>
      </w:r>
      <w:r>
        <w:t xml:space="preserve">0.069 kg CO2e/tonne-km</w:t>
      </w:r>
      <w:r>
        <w:br/>
      </w:r>
      <w:r>
        <w:rPr>
          <w:bCs/>
          <w:b/>
        </w:rPr>
        <w:t xml:space="preserve">Primary Transport Emissions:</w:t>
      </w:r>
      <w:r>
        <w:t xml:space="preserve"> </w:t>
      </w:r>
      <w:r>
        <w:t xml:space="preserve">0.001 tonne * 1000 km * 0.069 kg CO2e/tonne-km = 0.069 kg CO2e</w:t>
      </w:r>
    </w:p>
    <w:bookmarkEnd w:id="34"/>
    <w:bookmarkStart w:id="35"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product to the end-user in Europe.</w:t>
      </w:r>
    </w:p>
    <w:p>
      <w:pPr>
        <w:pStyle w:val="BodyText"/>
      </w:pPr>
      <w:r>
        <w:rPr>
          <w:bCs/>
          <w:b/>
        </w:rPr>
        <w:t xml:space="preserve">Delivery Channel:</w:t>
      </w:r>
      <w:r>
        <w:t xml:space="preserve"> </w:t>
      </w:r>
      <w:r>
        <w:t xml:space="preserve">Parcel Van - Road (Delivery Type)</w:t>
      </w:r>
      <w:r>
        <w:br/>
      </w:r>
      <w:r>
        <w:rPr>
          <w:bCs/>
          <w:b/>
        </w:rPr>
        <w:t xml:space="preserve">Delivery Distance:</w:t>
      </w:r>
      <w:r>
        <w:t xml:space="preserve"> </w:t>
      </w:r>
      <w:r>
        <w:t xml:space="preserve">50 km</w:t>
      </w:r>
      <w:r>
        <w:br/>
      </w:r>
      <w:r>
        <w:rPr>
          <w:bCs/>
          <w:b/>
        </w:rPr>
        <w:t xml:space="preserve">Product Weight (Functional Unit):</w:t>
      </w:r>
      <w:r>
        <w:t xml:space="preserve"> </w:t>
      </w:r>
      <w:r>
        <w:t xml:space="preserve">1 kg = 0.001 tonne</w:t>
      </w:r>
      <w:r>
        <w:br/>
      </w:r>
      <w:r>
        <w:rPr>
          <w:bCs/>
          <w:b/>
        </w:rPr>
        <w:t xml:space="preserve">Emission Factor:</w:t>
      </w:r>
      <w:r>
        <w:t xml:space="preserve"> </w:t>
      </w:r>
      <w:r>
        <w:t xml:space="preserve">0.069 kg CO2e/tonne-km (using road freight factor as proxy for parcel van)</w:t>
      </w:r>
      <w:r>
        <w:br/>
      </w:r>
      <w:r>
        <w:rPr>
          <w:bCs/>
          <w:b/>
        </w:rPr>
        <w:t xml:space="preserve">Last-Mile Delivery Emissions:</w:t>
      </w:r>
      <w:r>
        <w:t xml:space="preserve"> </w:t>
      </w:r>
      <w:r>
        <w:t xml:space="preserve">0.001 tonne * 50 km * 0.069 kg CO2e/tonne-km = 0.00345 kg CO2e</w:t>
      </w:r>
    </w:p>
    <w:bookmarkEnd w:id="35"/>
    <w:bookmarkStart w:id="36" w:name="category-11-use-of-sold-products"/>
    <w:p>
      <w:pPr>
        <w:pStyle w:val="Heading4"/>
      </w:pPr>
      <w:r>
        <w:t xml:space="preserve">4.3.4. Category 11: Use of Sold Products</w:t>
      </w:r>
    </w:p>
    <w:p>
      <w:pPr>
        <w:pStyle w:val="FirstParagraph"/>
      </w:pPr>
      <w:r>
        <w:t xml:space="preserve">Emissions from the energy consumption during the product\'s operational lifespan.</w:t>
      </w:r>
    </w:p>
    <w:p>
      <w:pPr>
        <w:pStyle w:val="BodyText"/>
      </w:pPr>
      <w:r>
        <w:rPr>
          <w:bCs/>
          <w:b/>
        </w:rPr>
        <w:t xml:space="preserve">Product Lifespan:</w:t>
      </w:r>
      <w:r>
        <w:t xml:space="preserve"> </w:t>
      </w:r>
      <w:r>
        <w:t xml:space="preserve">5 years (yqsghelgpv)</w:t>
      </w:r>
      <w:r>
        <w:br/>
      </w:r>
      <w:r>
        <w:rPr>
          <w:bCs/>
          <w:b/>
        </w:rPr>
        <w:t xml:space="preserve">Energy Consumption in Use:</w:t>
      </w:r>
      <w:r>
        <w:t xml:space="preserve"> </w:t>
      </w:r>
      <w:r>
        <w:t xml:space="preserve">10 kWh/year (lzxgjljxjy)</w:t>
      </w:r>
      <w:r>
        <w:br/>
      </w:r>
      <w:r>
        <w:rPr>
          <w:bCs/>
          <w:b/>
        </w:rPr>
        <w:t xml:space="preserve">Electricity Grid Emission Factor (Europe):</w:t>
      </w:r>
      <w:r>
        <w:t xml:space="preserve"> </w:t>
      </w:r>
      <w:r>
        <w:t xml:space="preserve">0.238 kg CO2e/kWh</w:t>
      </w:r>
      <w:r>
        <w:br/>
      </w:r>
      <w:r>
        <w:rPr>
          <w:bCs/>
          <w:b/>
        </w:rPr>
        <w:t xml:space="preserve">Use Phase Emissions:</w:t>
      </w:r>
      <w:r>
        <w:t xml:space="preserve"> </w:t>
      </w:r>
      <w:r>
        <w:t xml:space="preserve">5 years * 10 kWh/year * 0.238 kg CO2e/kWh = 11.90 kg 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pStyle w:val="BodyText"/>
      </w:pPr>
      <w:r>
        <w:rPr>
          <w:bCs/>
          <w:b/>
        </w:rPr>
        <w:t xml:space="preserve">Product Weight (Functional Unit):</w:t>
      </w:r>
      <w:r>
        <w:t xml:space="preserve"> </w:t>
      </w:r>
      <w:r>
        <w:t xml:space="preserve">1 kg</w:t>
      </w:r>
      <w:r>
        <w:br/>
      </w:r>
      <w:r>
        <w:rPr>
          <w:bCs/>
          <w:b/>
        </w:rPr>
        <w:t xml:space="preserve">Recyclability Percentage:</w:t>
      </w:r>
      <w:r>
        <w:t xml:space="preserve"> </w:t>
      </w:r>
      <w:r>
        <w:t xml:space="preserve">70% (ptksvortwf)</w:t>
      </w:r>
      <w:r>
        <w:br/>
      </w:r>
      <w:r>
        <w:rPr>
          <w:bCs/>
          <w:b/>
        </w:rPr>
        <w:t xml:space="preserve">Recycled Material:</w:t>
      </w:r>
      <w:r>
        <w:t xml:space="preserve"> </w:t>
      </w:r>
      <w:r>
        <w:t xml:space="preserve">1 kg * 0.70 = 0.7 kg</w:t>
      </w:r>
      <w:r>
        <w:br/>
      </w:r>
      <w:r>
        <w:rPr>
          <w:bCs/>
          <w:b/>
        </w:rPr>
        <w:t xml:space="preserve">Disposed Material:</w:t>
      </w:r>
      <w:r>
        <w:t xml:space="preserve"> </w:t>
      </w:r>
      <w:r>
        <w:t xml:space="preserve">1 kg * 0.30 = 0.3 kg</w:t>
      </w:r>
      <w:r>
        <w:br/>
      </w:r>
      <w:r>
        <w:rPr>
          <w:bCs/>
          <w:b/>
        </w:rPr>
        <w:t xml:space="preserve">Emissions from Disposal (Illustrative):</w:t>
      </w:r>
      <w:r>
        <w:t xml:space="preserve"> </w:t>
      </w:r>
      <w:r>
        <w:t xml:space="preserve">0.3 kg * 1.0 kg CO2e/kg = 0.30 kg CO2e</w:t>
      </w:r>
      <w:r>
        <w:br/>
      </w:r>
      <w:r>
        <w:rPr>
          <w:bCs/>
          <w:b/>
        </w:rPr>
        <w:t xml:space="preserve">Avoided Emissions from Recycling (Illustrative):</w:t>
      </w:r>
      <w:r>
        <w:t xml:space="preserve"> </w:t>
      </w:r>
      <w:r>
        <w:t xml:space="preserve">0.7 kg * (-0.5 kg CO2e/kg) = -0.35 kg CO2e</w:t>
      </w:r>
    </w:p>
    <w:p>
      <w:pPr>
        <w:pStyle w:val="BodyText"/>
      </w:pPr>
      <w:r>
        <w:rPr>
          <w:bCs/>
          <w:b/>
        </w:rPr>
        <w:t xml:space="preserve">Circular/Take-back Programs (nztpjjlnrn):</w:t>
      </w:r>
      <w:r>
        <w:t xml:space="preserve"> </w:t>
      </w:r>
      <w:r>
        <w:t xml:space="preserve">The presence of established take-back programs indicates efforts towards circularity. Under the 2026 LSR Standard, if such programs involve carbon sequestration or significantly reduce the need for virgin materials, these removals or avoided emissions would be carefully accounted for. For this product, we apply the avoided emissions from the recycling percentage.</w:t>
      </w:r>
    </w:p>
    <w:p>
      <w:pPr>
        <w:pStyle w:val="BodyText"/>
      </w:pPr>
      <w:r>
        <w:rPr>
          <w:bCs/>
          <w:b/>
        </w:rPr>
        <w:t xml:space="preserve">Net End-of-Life Emissions:</w:t>
      </w:r>
      <w:r>
        <w:t xml:space="preserve"> </w:t>
      </w:r>
      <w:r>
        <w:t xml:space="preserve">0.30 kg CO2e - 0.35 kg CO2e = -0.05 kg CO2e</w:t>
      </w:r>
    </w:p>
    <w:bookmarkEnd w:id="37"/>
    <w:bookmarkEnd w:id="38"/>
    <w:bookmarkStart w:id="39" w:name="summary-of-emissions-by-scope-and-stage"/>
    <w:p>
      <w:pPr>
        <w:pStyle w:val="Heading3"/>
      </w:pPr>
      <w:r>
        <w:t xml:space="preserve">4.4.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Category 1</w:t>
            </w:r>
          </w:p>
        </w:tc>
        <w:tc>
          <w:tcPr/>
          <w:p>
            <w:pPr>
              <w:pStyle w:val="Compact"/>
              <w:jc w:val="left"/>
            </w:pPr>
            <w:r>
              <w:t xml:space="preserve">4.200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0.696</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0.069</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0.003</w:t>
            </w:r>
          </w:p>
        </w:tc>
      </w:tr>
      <w:tr>
        <w:tc>
          <w:tcPr/>
          <w:p>
            <w:pPr>
              <w:pStyle w:val="Compact"/>
              <w:jc w:val="left"/>
            </w:pPr>
            <w:r>
              <w:t xml:space="preserve">Use of Product</w:t>
            </w:r>
          </w:p>
        </w:tc>
        <w:tc>
          <w:tcPr/>
          <w:p>
            <w:pPr>
              <w:pStyle w:val="Compact"/>
              <w:jc w:val="left"/>
            </w:pPr>
            <w:r>
              <w:t xml:space="preserve">Scope 3, Category 11</w:t>
            </w:r>
          </w:p>
        </w:tc>
        <w:tc>
          <w:tcPr/>
          <w:p>
            <w:pPr>
              <w:pStyle w:val="Compact"/>
              <w:jc w:val="left"/>
            </w:pPr>
            <w:r>
              <w:t xml:space="preserve">11.900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-0.050</w:t>
            </w:r>
          </w:p>
        </w:tc>
      </w:tr>
      <w:tr>
        <w:tc>
          <w:tcPr/>
          <w:p>
            <w:pPr>
              <w:pStyle w:val="Compact"/>
              <w:jc w:val="left"/>
            </w:pPr>
            <w:r>
              <w:t xml:space="preserve">Total PCF</w:t>
            </w:r>
          </w:p>
        </w:tc>
        <w:tc>
          <w:tcPr/>
          <w:p>
            <w:pPr>
              <w:pStyle w:val="Compact"/>
            </w:pPr>
          </w:p>
        </w:tc>
        <w:tc>
          <w:tcPr/>
          <w:p>
            <w:pPr>
              <w:pStyle w:val="Compact"/>
              <w:jc w:val="left"/>
            </w:pPr>
            <w:r>
              <w:t xml:space="preserve">16.818</w:t>
            </w:r>
          </w:p>
        </w:tc>
      </w:tr>
    </w:tbl>
    <w:p>
      <w:pPr>
        <w:pStyle w:val="BodyText"/>
      </w:pPr>
      <w:r>
        <w:rPr>
          <w:bCs/>
          <w:b/>
        </w:rPr>
        <w:t xml:space="preserve">Note on Scope 3 Coverage:</w:t>
      </w:r>
      <w:r>
        <w:t xml:space="preserve"> </w:t>
      </w:r>
      <w:r>
        <w:t xml:space="preserve">With comprehensive calculations for material acquisition, transport, use, and end-of-life, the Scope 3 reporting for rdjummtmnh achieves over 95% coverage, aligning with 2026 GHG Protocol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total-product-carbon-footprint"/>
    <w:p>
      <w:pPr>
        <w:pStyle w:val="Heading3"/>
      </w:pPr>
      <w:r>
        <w:t xml:space="preserve">5.1. Total Product Carbon Footprint</w:t>
      </w:r>
    </w:p>
    <w:p>
      <w:pPr>
        <w:pStyle w:val="FirstParagraph"/>
      </w:pPr>
      <w:r>
        <w:t xml:space="preserve">The estimated total Product Carbon Footprint for one functional unit of rdjummtmnh is</w:t>
      </w:r>
      <w:r>
        <w:t xml:space="preserve"> </w:t>
      </w:r>
      <w:r>
        <w:rPr>
          <w:bCs/>
          <w:b/>
        </w:rPr>
        <w:t xml:space="preserve">16.818 kg CO2e</w:t>
      </w:r>
      <w:r>
        <w:t xml:space="preserve">.</w:t>
      </w:r>
    </w:p>
    <w:bookmarkEnd w:id="41"/>
    <w:bookmarkStart w:id="42" w:name="hotspots-and-reliability"/>
    <w:p>
      <w:pPr>
        <w:pStyle w:val="Heading3"/>
      </w:pPr>
      <w:r>
        <w:t xml:space="preserve">5.2. Hotspots and Reliability</w:t>
      </w:r>
    </w:p>
    <w:p>
      <w:pPr>
        <w:numPr>
          <w:ilvl w:val="0"/>
          <w:numId w:val="1006"/>
        </w:numPr>
        <w:pStyle w:val="Compact"/>
      </w:pPr>
      <w:r>
        <w:rPr>
          <w:bCs/>
          <w:b/>
        </w:rPr>
        <w:t xml:space="preserve">Use Phase (11.90 kg CO2e):</w:t>
      </w:r>
      <w:r>
        <w:t xml:space="preserve"> </w:t>
      </w:r>
      <w:r>
        <w:t xml:space="preserve">This stage represents the most significant hotspot, accounting for approximately 70.7% of the total PCF. This is primarily driven by the energy consumption of the product over its 5-year lifespan and the electricity grid mix in the European use region.</w:t>
      </w:r>
    </w:p>
    <w:p>
      <w:pPr>
        <w:numPr>
          <w:ilvl w:val="0"/>
          <w:numId w:val="1006"/>
        </w:numPr>
        <w:pStyle w:val="Compact"/>
      </w:pPr>
      <w:r>
        <w:rPr>
          <w:bCs/>
          <w:b/>
        </w:rPr>
        <w:t xml:space="preserve">Material Acquisition &amp; Production (4.20 kg CO2e):</w:t>
      </w:r>
      <w:r>
        <w:t xml:space="preserve"> </w:t>
      </w:r>
      <w:r>
        <w:t xml:space="preserve">This is the second largest hotspot, contributing about 25.0% of the total footprint. The impact is dependent on the type and quantity of materials used, as well as the emission factors of their respective production processes.</w:t>
      </w:r>
    </w:p>
    <w:p>
      <w:pPr>
        <w:numPr>
          <w:ilvl w:val="0"/>
          <w:numId w:val="1006"/>
        </w:numPr>
        <w:pStyle w:val="Compact"/>
      </w:pPr>
      <w:r>
        <w:rPr>
          <w:bCs/>
          <w:b/>
        </w:rPr>
        <w:t xml:space="preserve">Manufacturing (Scope 2) (0.696 kg CO2e):</w:t>
      </w:r>
      <w:r>
        <w:t xml:space="preserve"> </w:t>
      </w:r>
      <w:r>
        <w:t xml:space="preserve">Represents about 4.1% of the total. While some renewable energy is used (illustrative 50%), the remaining reliance on the China grid mix contributes to emissions.</w:t>
      </w:r>
    </w:p>
    <w:p>
      <w:pPr>
        <w:numPr>
          <w:ilvl w:val="0"/>
          <w:numId w:val="1006"/>
        </w:numPr>
        <w:pStyle w:val="Compact"/>
      </w:pPr>
      <w:r>
        <w:rPr>
          <w:bCs/>
          <w:b/>
        </w:rPr>
        <w:t xml:space="preserve">Transport (0.072 kg CO2e):</w:t>
      </w:r>
      <w:r>
        <w:t xml:space="preserve"> </w:t>
      </w:r>
      <w:r>
        <w:t xml:space="preserve">Upstream and downstream transport combined represent a small portion (approx. 0.4%) of the total footprint, assuming efficient road freight.</w:t>
      </w:r>
    </w:p>
    <w:p>
      <w:pPr>
        <w:numPr>
          <w:ilvl w:val="0"/>
          <w:numId w:val="1006"/>
        </w:numPr>
        <w:pStyle w:val="Compact"/>
      </w:pPr>
      <w:r>
        <w:rPr>
          <w:bCs/>
          <w:b/>
        </w:rPr>
        <w:t xml:space="preserve">End-of-Life (-0.05 kg CO2e):</w:t>
      </w:r>
      <w:r>
        <w:t xml:space="preserve"> </w:t>
      </w:r>
      <w:r>
        <w:t xml:space="preserve">The assumed high recyclability and circular programs result in a net negative emission, indicating avoided emissions through recycling, as aligned with LSR Standard principles for removals.</w:t>
      </w:r>
    </w:p>
    <w:p>
      <w:pPr>
        <w:pStyle w:val="FirstParagraph"/>
      </w:pPr>
      <w:r>
        <w:t xml:space="preserve">The reliability of this analysis is directly dependent on the accuracy and completeness of the input data. The use of illustrative numerical values for some parameters (e.g., transport distance, energy consumption, recyclability) means the calculated footprint serves as a demonstration of methodology rather than a definitive figure. For a more precise assessment, primary, product-specific data would be crucial for all parameters provided as generic strings.</w:t>
      </w:r>
    </w:p>
    <w:bookmarkEnd w:id="42"/>
    <w:bookmarkStart w:id="43" w:name="recommendations-for-emission-reduction"/>
    <w:p>
      <w:pPr>
        <w:pStyle w:val="Heading3"/>
      </w:pPr>
      <w:r>
        <w:t xml:space="preserve">5.3. Recommendations for Emission Reduction</w:t>
      </w:r>
    </w:p>
    <w:p>
      <w:pPr>
        <w:numPr>
          <w:ilvl w:val="0"/>
          <w:numId w:val="1007"/>
        </w:numPr>
        <w:pStyle w:val="Compact"/>
      </w:pPr>
      <w:r>
        <w:rPr>
          <w:bCs/>
          <w:b/>
        </w:rPr>
        <w:t xml:space="preserve">Optimize Use Phase:</w:t>
      </w:r>
    </w:p>
    <w:p>
      <w:pPr>
        <w:numPr>
          <w:ilvl w:val="1"/>
          <w:numId w:val="1008"/>
        </w:numPr>
        <w:pStyle w:val="Compact"/>
      </w:pPr>
      <w:r>
        <w:rPr>
          <w:bCs/>
          <w:b/>
        </w:rPr>
        <w:t xml:space="preserve">Energy Efficiency:</w:t>
      </w:r>
      <w:r>
        <w:t xml:space="preserve"> </w:t>
      </w:r>
      <w:r>
        <w:t xml:space="preserve">Focus on designing rdjummtmnh for even greater energy efficiency during its operational life.</w:t>
      </w:r>
    </w:p>
    <w:p>
      <w:pPr>
        <w:numPr>
          <w:ilvl w:val="1"/>
          <w:numId w:val="1008"/>
        </w:numPr>
        <w:pStyle w:val="Compact"/>
      </w:pPr>
      <w:r>
        <w:rPr>
          <w:bCs/>
          <w:b/>
        </w:rPr>
        <w:t xml:space="preserve">Renewable Energy Advocacy:</w:t>
      </w:r>
      <w:r>
        <w:t xml:space="preserve"> </w:t>
      </w:r>
      <w:r>
        <w:t xml:space="preserve">Encourage end-users to source renewable electricity for product operation where possible.</w:t>
      </w:r>
    </w:p>
    <w:p>
      <w:pPr>
        <w:numPr>
          <w:ilvl w:val="1"/>
          <w:numId w:val="1008"/>
        </w:numPr>
        <w:pStyle w:val="Compact"/>
      </w:pPr>
      <w:r>
        <w:rPr>
          <w:bCs/>
          <w:b/>
        </w:rPr>
        <w:t xml:space="preserve">Extended Lifespan:</w:t>
      </w:r>
      <w:r>
        <w:t xml:space="preserve"> </w:t>
      </w:r>
      <w:r>
        <w:t xml:space="preserve">Enhance product durability to extend lifespan beyond 5 years, amortizing initial production emissions over a longer period.</w:t>
      </w:r>
    </w:p>
    <w:p>
      <w:pPr>
        <w:numPr>
          <w:ilvl w:val="0"/>
          <w:numId w:val="1007"/>
        </w:numPr>
        <w:pStyle w:val="Compact"/>
      </w:pPr>
      <w:r>
        <w:rPr>
          <w:bCs/>
          <w:b/>
        </w:rPr>
        <w:t xml:space="preserve">Sustainable Materials:</w:t>
      </w:r>
    </w:p>
    <w:p>
      <w:pPr>
        <w:numPr>
          <w:ilvl w:val="1"/>
          <w:numId w:val="1009"/>
        </w:numPr>
        <w:pStyle w:val="Compact"/>
      </w:pPr>
      <w:r>
        <w:t xml:space="preserve">Investigate and integrate lower-carbon alternative materials (e.g., recycled content, bio-based materials with certified low impact) in the BOM.</w:t>
      </w:r>
    </w:p>
    <w:p>
      <w:pPr>
        <w:numPr>
          <w:ilvl w:val="1"/>
          <w:numId w:val="1009"/>
        </w:numPr>
        <w:pStyle w:val="Compact"/>
      </w:pPr>
      <w:r>
        <w:t xml:space="preserve">Work with suppliers to reduce the embedded emissions of purchased goods and services.</w:t>
      </w:r>
    </w:p>
    <w:p>
      <w:pPr>
        <w:numPr>
          <w:ilvl w:val="0"/>
          <w:numId w:val="1007"/>
        </w:numPr>
        <w:pStyle w:val="Compact"/>
      </w:pPr>
      <w:r>
        <w:rPr>
          <w:bCs/>
          <w:b/>
        </w:rPr>
        <w:t xml:space="preserve">Manufacturing Decarbonization:</w:t>
      </w:r>
    </w:p>
    <w:p>
      <w:pPr>
        <w:numPr>
          <w:ilvl w:val="1"/>
          <w:numId w:val="1010"/>
        </w:numPr>
        <w:pStyle w:val="Compact"/>
      </w:pPr>
      <w:r>
        <w:t xml:space="preserve">Increase the share of renewable energy sourcing in the China manufacturing facility beyond the illustrative 50%.</w:t>
      </w:r>
    </w:p>
    <w:p>
      <w:pPr>
        <w:numPr>
          <w:ilvl w:val="1"/>
          <w:numId w:val="1010"/>
        </w:numPr>
        <w:pStyle w:val="Compact"/>
      </w:pPr>
      <w:r>
        <w:t xml:space="preserve">Implement energy-efficient manufacturing processes and technologies.</w:t>
      </w:r>
    </w:p>
    <w:p>
      <w:pPr>
        <w:numPr>
          <w:ilvl w:val="0"/>
          <w:numId w:val="1007"/>
        </w:numPr>
        <w:pStyle w:val="Compact"/>
      </w:pPr>
      <w:r>
        <w:rPr>
          <w:bCs/>
          <w:b/>
        </w:rPr>
        <w:t xml:space="preserve">Circular Economy Enhancement:</w:t>
      </w:r>
    </w:p>
    <w:p>
      <w:pPr>
        <w:numPr>
          <w:ilvl w:val="1"/>
          <w:numId w:val="1011"/>
        </w:numPr>
        <w:pStyle w:val="Compact"/>
      </w:pPr>
      <w:r>
        <w:t xml:space="preserve">Further develop and promote take-back programs (nztpjjlnrn) to maximize collection and recycling rates beyond the illustrative 70%.</w:t>
      </w:r>
    </w:p>
    <w:p>
      <w:pPr>
        <w:numPr>
          <w:ilvl w:val="1"/>
          <w:numId w:val="1011"/>
        </w:numPr>
        <w:pStyle w:val="Compact"/>
      </w:pPr>
      <w:r>
        <w:t xml:space="preserve">Explore options for product reuse and remanufacturing to keep materials in circulation for longer.</w:t>
      </w:r>
    </w:p>
    <w:p>
      <w:pPr>
        <w:numPr>
          <w:ilvl w:val="0"/>
          <w:numId w:val="1007"/>
        </w:numPr>
        <w:pStyle w:val="Compact"/>
      </w:pPr>
      <w:r>
        <w:rPr>
          <w:bCs/>
          <w:b/>
        </w:rPr>
        <w:t xml:space="preserve">Data Improvement:</w:t>
      </w:r>
    </w:p>
    <w:p>
      <w:pPr>
        <w:numPr>
          <w:ilvl w:val="1"/>
          <w:numId w:val="1012"/>
        </w:numPr>
        <w:pStyle w:val="Compact"/>
      </w:pPr>
      <w:r>
        <w:t xml:space="preserve">Collect precise primary data for all parameters, especially for the actual Bill of Materials, transport distances, modes, and specific energy consumption during use, to refine the accuracy of the PCF.</w:t>
      </w:r>
    </w:p>
    <w:p>
      <w:pPr>
        <w:numPr>
          <w:ilvl w:val="1"/>
          <w:numId w:val="1012"/>
        </w:numPr>
        <w:pStyle w:val="Compact"/>
      </w:pPr>
      <w:r>
        <w:t xml:space="preserve">Engage with supply chain partners to gather specific emission factors where industry averages are currently used.</w: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rdjummtmnh</dc:title>
  <dc:creator/>
  <dc:description>High-detail Product Carbon Footprint (PCF) analysis for rdjummtmnh by yspgfxngqx, following GHG Protocol standards and 2026 LSR Update, performed by Senior Sustainability Consultant poquwsgzef.</dc:description>
  <dc:language>en</dc:language>
  <cp:keywords/>
  <dcterms:created xsi:type="dcterms:W3CDTF">2026-05-30T20:02:53Z</dcterms:created>
  <dcterms:modified xsi:type="dcterms:W3CDTF">2026-05-30T20:02:53Z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