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qvtdzrxnhq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qvtdzrxnhq"/>
    <w:p>
      <w:pPr>
        <w:pStyle w:val="Heading2"/>
      </w:pPr>
      <w:r>
        <w:t xml:space="preserve">Product: qvtdzrxnhq</w:t>
      </w:r>
    </w:p>
    <w:p>
      <w:pPr>
        <w:pStyle w:val="FirstParagraph"/>
      </w:pPr>
      <w:r>
        <w:rPr>
          <w:bCs/>
          <w:b/>
        </w:rPr>
        <w:t xml:space="preserve">Company Name:</w:t>
      </w:r>
      <w:r>
        <w:t xml:space="preserve"> </w:t>
      </w:r>
      <w:r>
        <w:t xml:space="preserve">vezhtphpjj</w:t>
      </w:r>
    </w:p>
    <w:p>
      <w:pPr>
        <w:pStyle w:val="BodyText"/>
      </w:pPr>
      <w:r>
        <w:rPr>
          <w:bCs/>
          <w:b/>
        </w:rPr>
        <w:t xml:space="preserve">Senior Sustainability Consultant:</w:t>
      </w:r>
      <w:r>
        <w:t xml:space="preserve"> </w:t>
      </w:r>
      <w:r>
        <w:t xml:space="preserve">sezqkrudix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illustrative and subject to the quality and completeness of the input data and chosen emission factors.</w:t>
      </w:r>
    </w:p>
    <w:bookmarkEnd w:id="20"/>
    <w:bookmarkEnd w:id="21"/>
    <w:p>
      <w:pPr>
        <w:pStyle w:val="BodyText"/>
      </w:pPr>
      <w:r>
        <w:t xml:space="preserve">Product Carbon Footprint Analysis for qvtdzrxnhq | Generated Date: May 22, 2026</w:t>
      </w:r>
    </w:p>
    <w:bookmarkStart w:id="5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qvtdzrxnhq</w:t>
      </w:r>
      <w:r>
        <w:t xml:space="preserve">, manufactured by</w:t>
      </w:r>
      <w:r>
        <w:t xml:space="preserve"> </w:t>
      </w:r>
      <w:r>
        <w:rPr>
          <w:bCs/>
          <w:b/>
        </w:rPr>
        <w:t xml:space="preserve">vezhtphpjj</w:t>
      </w:r>
      <w:r>
        <w:t xml:space="preserve">. The analysis, conducted by Senior Sustainability Consultant</w:t>
      </w:r>
      <w:r>
        <w:t xml:space="preserve"> </w:t>
      </w:r>
      <w:r>
        <w:rPr>
          <w:bCs/>
          <w:b/>
        </w:rPr>
        <w:t xml:space="preserve">sezqkrudix</w:t>
      </w:r>
      <w:r>
        <w:t xml:space="preserve">, adheres strictly to the</w:t>
      </w:r>
      <w:r>
        <w:t xml:space="preserve"> </w:t>
      </w:r>
      <w:r>
        <w:rPr>
          <w:bCs/>
          <w:b/>
        </w:rPr>
        <w:t xml:space="preserve">GHG Protocol</w:t>
      </w:r>
      <w:r>
        <w:t xml:space="preserve"> </w:t>
      </w:r>
      <w:r>
        <w:t xml:space="preserve">standards, including consideration of the forthcoming 2026 Land Sector and Removals (LSR) update. The primary goal is to quantify the total greenhouse gas (GHG) emissions across the product\'s entire lifecycle, from raw material acquisition through end-of-life, expressed in tonnes of carbon dioxide equivalent (tCO2e) per functional unit. This comprehensive "Cradle-to-Grave" assessment identifies key emission hotspots, categorizes impacts according to GHG Protocol Scopes 1, 2, and 3, and provides insights for potential emission reduction strategies.</w:t>
      </w:r>
    </w:p>
    <w:p>
      <w:r>
        <w:pict>
          <v:rect style="width:0;height:1.5pt" o:hralign="center" o:hrstd="t" o:hr="t"/>
        </w:pict>
      </w:r>
    </w:p>
    <w:bookmarkEnd w:id="22"/>
    <w:bookmarkStart w:id="28" w:name="defining-the-scope-of-analysis"/>
    <w:p>
      <w:pPr>
        <w:pStyle w:val="Heading2"/>
      </w:pPr>
      <w:r>
        <w:t xml:space="preserve">1. Defining the Scope of Analysis</w:t>
      </w:r>
    </w:p>
    <w:p>
      <w:pPr>
        <w:pStyle w:val="FirstParagraph"/>
      </w:pPr>
      <w:r>
        <w:t xml:space="preserve">The initial phase of this Product Carbon Footprint (PCF) analysis involves a clear definition of the study\'s boundaries and parameters in accordance with the</w:t>
      </w:r>
      <w:r>
        <w:t xml:space="preserve"> </w:t>
      </w:r>
      <w:r>
        <w:rPr>
          <w:bCs/>
          <w:b/>
        </w:rPr>
        <w:t xml:space="preserve">GHG Protocol</w:t>
      </w:r>
      <w:r>
        <w:t xml:space="preserve">.</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qvtdzrxnhq</w:t>
      </w:r>
      <w:r>
        <w:t xml:space="preserve">. All emissions are calculated and expressed relative to this single functional unit, ensuring comparability and clarity.</w:t>
      </w:r>
    </w:p>
    <w:bookmarkEnd w:id="23"/>
    <w:bookmarkStart w:id="24" w:name="system-boundary"/>
    <w:p>
      <w:pPr>
        <w:pStyle w:val="Heading3"/>
      </w:pPr>
      <w:r>
        <w:t xml:space="preserve">1.2. System Boundary</w:t>
      </w:r>
    </w:p>
    <w:p>
      <w:pPr>
        <w:pStyle w:val="FirstParagraph"/>
      </w:pPr>
      <w:r>
        <w:t xml:space="preserve">While the initial parameter specified "factory_gate", a comprehensive PCF, especially one incorporating "Use Phase" and "End-of-Life" as requested, necessitates a broader perspective. Therefore, this analysis adopts a</w:t>
      </w:r>
      <w:r>
        <w:t xml:space="preserve"> </w:t>
      </w:r>
      <w:r>
        <w:rPr>
          <w:bCs/>
          <w:b/>
        </w:rPr>
        <w:t xml:space="preserve">"Cradle-to-Grave"</w:t>
      </w:r>
      <w:r>
        <w:t xml:space="preserve"> </w:t>
      </w:r>
      <w:r>
        <w:t xml:space="preserve">system boundary. This encompasses all relevant lifecycle stages: raw material extraction and processing, manufacturing, distribution, the product\'s use phase, and its end-of-life treatment (disposal, recycling, or reuse). This approach provides a holistic view of the product\'s environmental impact.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potentially some distribution)</w:t>
      </w:r>
    </w:p>
    <w:bookmarkEnd w:id="25"/>
    <w:bookmarkStart w:id="26" w:name="accounting-standard"/>
    <w:p>
      <w:pPr>
        <w:pStyle w:val="Heading3"/>
      </w:pPr>
      <w:r>
        <w:t xml:space="preserve">1.4. Accounting Standard</w:t>
      </w:r>
    </w:p>
    <w:p>
      <w:pPr>
        <w:pStyle w:val="FirstParagraph"/>
      </w:pPr>
      <w:r>
        <w:t xml:space="preserve">All calculations and reporting in this analysis are performed in accordance with the</w:t>
      </w:r>
      <w:r>
        <w:t xml:space="preserve"> </w:t>
      </w:r>
      <w:r>
        <w:rPr>
          <w:bCs/>
          <w:b/>
        </w:rPr>
        <w:t xml:space="preserve">GHG Protocol Product Life Cycle Accounting and Reporting Standard</w:t>
      </w:r>
      <w:r>
        <w:t xml:space="preserve">. This standard provides the foundational methodology for quantifying and reporting product-level GHG emissions, ensuring consistency and credibility. Emissions are categorized into Scope 1 (direct emissions), Scope 2 (indirect emissions from purchased energy), and Scope 3 (all other indirect emissions across the value chain).</w:t>
      </w:r>
    </w:p>
    <w:bookmarkEnd w:id="26"/>
    <w:bookmarkStart w:id="27" w:name="allocation"/>
    <w:p>
      <w:pPr>
        <w:pStyle w:val="Heading3"/>
      </w:pPr>
      <w:r>
        <w:t xml:space="preserve">1.5. Allocation</w:t>
      </w:r>
    </w:p>
    <w:p>
      <w:pPr>
        <w:pStyle w:val="FirstParagraph"/>
      </w:pPr>
      <w:r>
        <w:t xml:space="preserve">For this single product PCF, direct allocation of emissions to</w:t>
      </w:r>
      <w:r>
        <w:t xml:space="preserve"> </w:t>
      </w:r>
      <w:r>
        <w:rPr>
          <w:bCs/>
          <w:b/>
        </w:rPr>
        <w:t xml:space="preserve">qvtdzrxnhq</w:t>
      </w:r>
      <w:r>
        <w:t xml:space="preserve"> </w:t>
      </w:r>
      <w:r>
        <w:t xml:space="preserve">is applied where possible. In cases where shared processes or by-products might occur within the supply chain, industry-standard allocation methods (e.g., mass allocation) are assumed to have been applied by the respective upstream data providers or emission factor databases.</w:t>
      </w:r>
    </w:p>
    <w:p>
      <w:r>
        <w:pict>
          <v:rect style="width:0;height:1.5pt" o:hralign="center" o:hrstd="t" o:hr="t"/>
        </w:pict>
      </w:r>
    </w:p>
    <w:bookmarkEnd w:id="27"/>
    <w:bookmarkEnd w:id="28"/>
    <w:bookmarkStart w:id="34" w:name="mapping-lifecycle-collecting-data"/>
    <w:p>
      <w:pPr>
        <w:pStyle w:val="Heading2"/>
      </w:pPr>
      <w:r>
        <w:t xml:space="preserve">2. &amp; 3. Mapping Lifecycle &amp; Collecting Data</w:t>
      </w:r>
    </w:p>
    <w:p>
      <w:pPr>
        <w:pStyle w:val="FirstParagraph"/>
      </w:pPr>
      <w:r>
        <w:t xml:space="preserve">This section details the inputs and activities across the lifecycle of</w:t>
      </w:r>
      <w:r>
        <w:t xml:space="preserve"> </w:t>
      </w:r>
      <w:r>
        <w:rPr>
          <w:bCs/>
          <w:b/>
        </w:rPr>
        <w:t xml:space="preserve">qvtdzrxnhq</w:t>
      </w:r>
      <w:r>
        <w:t xml:space="preserve">, identifying the key data points used for emission calculations. Primary data from the company\'s Bill of Materials (BOM) and specified operational parameters are utilized, supplemented by illustrative secondary data from industry-standard emission factor databases (conceptually referencing Ecoinvent/DEFRA for representative values).</w:t>
      </w:r>
    </w:p>
    <w:bookmarkStart w:id="29" w:name="X659256adbe1bab6503567c377b01961aa46c77d"/>
    <w:p>
      <w:pPr>
        <w:pStyle w:val="Heading3"/>
      </w:pPr>
      <w:r>
        <w:t xml:space="preserve">2.1. Raw Material Acquisition &amp; Pre-processing (Upstream - Scope 3, Category 1)</w:t>
      </w:r>
    </w:p>
    <w:p>
      <w:pPr>
        <w:pStyle w:val="FirstParagraph"/>
      </w:pPr>
      <w:r>
        <w:t xml:space="preserve">The following Detailed Bill of Materials (BOM) for</w:t>
      </w:r>
      <w:r>
        <w:t xml:space="preserve"> </w:t>
      </w:r>
      <w:r>
        <w:rPr>
          <w:bCs/>
          <w:b/>
        </w:rPr>
        <w:t xml:space="preserve">qvtdzrxnhq</w:t>
      </w:r>
      <w:r>
        <w:t xml:space="preserve"> </w:t>
      </w:r>
      <w:r>
        <w:t xml:space="preserve">(originally `yszmpvdv`) provides the material inputs and their associated pre-calculated carbon impacts. These specific values are directly incorporated into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(tCO2e/unit_qty)</w:t>
            </w:r>
          </w:p>
        </w:tc>
        <w:tc>
          <w:tcPr/>
          <w:p>
            <w:pPr>
              <w:pStyle w:val="Compact"/>
              <w:jc w:val="left"/>
            </w:pPr>
            <w:r>
              <w:t xml:space="preserve">Total Carbon (tCO2e)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0.007</w:t>
            </w:r>
          </w:p>
        </w:tc>
        <w:tc>
          <w:tcPr/>
          <w:p>
            <w:pPr>
              <w:pStyle w:val="Compact"/>
              <w:jc w:val="left"/>
            </w:pPr>
            <w:r>
              <w:t xml:space="preserve">0.0056</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0.003</w:t>
            </w:r>
          </w:p>
        </w:tc>
        <w:tc>
          <w:tcPr/>
          <w:p>
            <w:pPr>
              <w:pStyle w:val="Compact"/>
              <w:jc w:val="left"/>
            </w:pPr>
            <w:r>
              <w:t xml:space="preserve">0.0009</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0.1500</w:t>
            </w:r>
          </w:p>
        </w:tc>
      </w:tr>
      <w:tr>
        <w:tc>
          <w:tcPr/>
          <w:p>
            <w:pPr>
              <w:pStyle w:val="Compact"/>
              <w:jc w:val="left"/>
            </w:pPr>
            <w:r>
              <w:t xml:space="preserve">PKG1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0.001</w:t>
            </w:r>
          </w:p>
        </w:tc>
        <w:tc>
          <w:tcPr/>
          <w:p>
            <w:pPr>
              <w:pStyle w:val="Compact"/>
              <w:jc w:val="left"/>
            </w:pPr>
            <w:r>
              <w:t xml:space="preserve">0.0002</w:t>
            </w:r>
          </w:p>
        </w:tc>
      </w:tr>
    </w:tbl>
    <w:p>
      <w:pPr>
        <w:pStyle w:val="BodyText"/>
      </w:pPr>
      <w:r>
        <w:rPr>
          <w:bCs/>
          <w:b/>
        </w:rPr>
        <w:t xml:space="preserve">Total Raw Material Carbon Footprint:</w:t>
      </w:r>
      <w:r>
        <w:t xml:space="preserve"> </w:t>
      </w:r>
      <w:r>
        <w:t xml:space="preserve">0.1567 tCO2e/unit.</w:t>
      </w:r>
    </w:p>
    <w:bookmarkEnd w:id="29"/>
    <w:bookmarkStart w:id="30" w:name="Xd921ec34aee4103e62b9f843f3892777dafe864"/>
    <w:p>
      <w:pPr>
        <w:pStyle w:val="Heading3"/>
      </w:pPr>
      <w:r>
        <w:t xml:space="preserve">2.2. Manufacturing &amp; Production (On-site - Scope 1 &amp; 2)</w:t>
      </w:r>
    </w:p>
    <w:p>
      <w:pPr>
        <w:numPr>
          <w:ilvl w:val="0"/>
          <w:numId w:val="1002"/>
        </w:numPr>
        <w:pStyle w:val="Compact"/>
      </w:pPr>
      <w:r>
        <w:rPr>
          <w:bCs/>
          <w:b/>
        </w:rPr>
        <w:t xml:space="preserve">Energy Intensity (kWh/unit):</w:t>
      </w:r>
      <w:r>
        <w:t xml:space="preserve"> </w:t>
      </w:r>
      <w:r>
        <w:t xml:space="preserve">wfldqgfnsx = 7.5 kWh/unit</w:t>
      </w:r>
    </w:p>
    <w:p>
      <w:pPr>
        <w:numPr>
          <w:ilvl w:val="0"/>
          <w:numId w:val="1002"/>
        </w:numPr>
        <w:pStyle w:val="Compact"/>
      </w:pPr>
      <w:r>
        <w:rPr>
          <w:bCs/>
          <w:b/>
        </w:rPr>
        <w:t xml:space="preserve">Renewable Energy Usage:</w:t>
      </w:r>
      <w:r>
        <w:t xml:space="preserve"> </w:t>
      </w:r>
      <w:r>
        <w:t xml:space="preserve">pqysdvvxky = 60%</w:t>
      </w:r>
    </w:p>
    <w:p>
      <w:pPr>
        <w:numPr>
          <w:ilvl w:val="0"/>
          <w:numId w:val="1002"/>
        </w:numPr>
        <w:pStyle w:val="Compact"/>
      </w:pPr>
      <w:r>
        <w:rPr>
          <w:bCs/>
          <w:b/>
        </w:rPr>
        <w:t xml:space="preserve">Grid Electricity Mix (China, illustrative):</w:t>
      </w:r>
      <w:r>
        <w:t xml:space="preserve"> </w:t>
      </w:r>
      <w:r>
        <w:t xml:space="preserve">0.0006 tCO2e/kWh (representative factor)</w:t>
      </w:r>
    </w:p>
    <w:p>
      <w:pPr>
        <w:numPr>
          <w:ilvl w:val="0"/>
          <w:numId w:val="1002"/>
        </w:numPr>
        <w:pStyle w:val="Compact"/>
      </w:pPr>
      <w:r>
        <w:rPr>
          <w:bCs/>
          <w:b/>
        </w:rPr>
        <w:t xml:space="preserve">Direct Process Emissions (illustrative):</w:t>
      </w:r>
      <w:r>
        <w:t xml:space="preserve"> </w:t>
      </w:r>
      <w:r>
        <w:t xml:space="preserve">Assumed minor for manufacturing of this type of product, e.g., 0.0001 tCO2e/unit.</w:t>
      </w:r>
    </w:p>
    <w:bookmarkEnd w:id="30"/>
    <w:bookmarkStart w:id="31" w:name="Xdf8c1536d963c4df1077eb4b9c40c7ba31ea454"/>
    <w:p>
      <w:pPr>
        <w:pStyle w:val="Heading3"/>
      </w:pPr>
      <w:r>
        <w:t xml:space="preserve">2.3. Transportation &amp; Distribution (Upstream &amp; Downstream - Scope 3, Categories 4 &amp; 9)</w:t>
      </w:r>
    </w:p>
    <w:p>
      <w:pPr>
        <w:pStyle w:val="FirstParagraph"/>
      </w:pPr>
      <w:r>
        <w:t xml:space="preserve">The analysis incorporates specific logistics data for the supply chain:</w:t>
      </w:r>
    </w:p>
    <w:p>
      <w:pPr>
        <w:numPr>
          <w:ilvl w:val="0"/>
          <w:numId w:val="1003"/>
        </w:numPr>
        <w:pStyle w:val="Compact"/>
      </w:pPr>
      <w:r>
        <w:rPr>
          <w:bCs/>
          <w:b/>
        </w:rPr>
        <w:t xml:space="preserve">Primary Transport Mode (`Select Mode`):</w:t>
      </w:r>
      <w:r>
        <w:t xml:space="preserve"> </w:t>
      </w:r>
      <w:r>
        <w:t xml:space="preserve">Road freight (Heavy Goods Vehicle, average load) for inbound raw materials from Europe to China.</w:t>
      </w:r>
    </w:p>
    <w:p>
      <w:pPr>
        <w:numPr>
          <w:ilvl w:val="0"/>
          <w:numId w:val="1003"/>
        </w:numPr>
        <w:pStyle w:val="Compact"/>
      </w:pPr>
      <w:r>
        <w:rPr>
          <w:bCs/>
          <w:b/>
        </w:rPr>
        <w:t xml:space="preserve">Primary Transport Distance (`qiqkoimlsu`):</w:t>
      </w:r>
      <w:r>
        <w:t xml:space="preserve"> </w:t>
      </w:r>
      <w:r>
        <w:t xml:space="preserve">3000 km (illustrative average for Europe to China).</w:t>
      </w:r>
    </w:p>
    <w:p>
      <w:pPr>
        <w:numPr>
          <w:ilvl w:val="0"/>
          <w:numId w:val="1003"/>
        </w:numPr>
        <w:pStyle w:val="Compact"/>
      </w:pPr>
      <w:r>
        <w:rPr>
          <w:bCs/>
          <w:b/>
        </w:rPr>
        <w:t xml:space="preserve">Mass per unit for transport:</w:t>
      </w:r>
      <w:r>
        <w:t xml:space="preserve"> </w:t>
      </w:r>
      <w:r>
        <w:t xml:space="preserve">Sum of BOM materials = 0.8 + 0.3 + 0.1 + 0.2 = 1.4 kg (0.0014 tonnes).</w:t>
      </w:r>
    </w:p>
    <w:p>
      <w:pPr>
        <w:numPr>
          <w:ilvl w:val="0"/>
          <w:numId w:val="1003"/>
        </w:numPr>
        <w:pStyle w:val="Compact"/>
      </w:pPr>
      <w:r>
        <w:rPr>
          <w:bCs/>
          <w:b/>
        </w:rPr>
        <w:t xml:space="preserve">Emission Factor for Road Freight:</w:t>
      </w:r>
      <w:r>
        <w:t xml:space="preserve"> </w:t>
      </w:r>
      <w:r>
        <w:t xml:space="preserve">0.0001 tCO2e/tkm (illustrative, representative for heavy goods vehicle).</w:t>
      </w:r>
    </w:p>
    <w:p>
      <w:pPr>
        <w:numPr>
          <w:ilvl w:val="0"/>
          <w:numId w:val="1003"/>
        </w:numPr>
        <w:pStyle w:val="Compact"/>
      </w:pPr>
      <w:r>
        <w:rPr>
          <w:bCs/>
          <w:b/>
        </w:rPr>
        <w:t xml:space="preserve">Last-Mile Delivery Channel (`Delivery Type`):</w:t>
      </w:r>
      <w:r>
        <w:t xml:space="preserve"> </w:t>
      </w:r>
      <w:r>
        <w:t xml:space="preserve">Van Delivery.</w:t>
      </w:r>
    </w:p>
    <w:p>
      <w:pPr>
        <w:numPr>
          <w:ilvl w:val="0"/>
          <w:numId w:val="1003"/>
        </w:numPr>
        <w:pStyle w:val="Compact"/>
      </w:pPr>
      <w:r>
        <w:rPr>
          <w:bCs/>
          <w:b/>
        </w:rPr>
        <w:t xml:space="preserve">Last-Mile Delivery Distance (illustrative):</w:t>
      </w:r>
      <w:r>
        <w:t xml:space="preserve"> </w:t>
      </w:r>
      <w:r>
        <w:t xml:space="preserve">50 km per unit.</w:t>
      </w:r>
    </w:p>
    <w:p>
      <w:pPr>
        <w:numPr>
          <w:ilvl w:val="0"/>
          <w:numId w:val="1003"/>
        </w:numPr>
        <w:pStyle w:val="Compact"/>
      </w:pPr>
      <w:r>
        <w:rPr>
          <w:bCs/>
          <w:b/>
        </w:rPr>
        <w:t xml:space="preserve">Emission Factor for Van Delivery:</w:t>
      </w:r>
      <w:r>
        <w:t xml:space="preserve"> </w:t>
      </w:r>
      <w:r>
        <w:t xml:space="preserve">0.00025 tCO2e/km (illustrative, for light goods vehicle).</w:t>
      </w:r>
    </w:p>
    <w:bookmarkEnd w:id="31"/>
    <w:bookmarkStart w:id="32" w:name="X01fffecb4d51cf9638741502492363d57dc681a"/>
    <w:p>
      <w:pPr>
        <w:pStyle w:val="Heading3"/>
      </w:pPr>
      <w:r>
        <w:t xml:space="preserve">2.4. Use Phase (Downstream - Scope 3, Category 11)</w:t>
      </w:r>
    </w:p>
    <w:p>
      <w:pPr>
        <w:pStyle w:val="FirstParagraph"/>
      </w:pPr>
      <w:r>
        <w:t xml:space="preserve">The \'Use Phase\' calculation is expanded using the provided durability and consumption data:</w:t>
      </w:r>
    </w:p>
    <w:p>
      <w:pPr>
        <w:numPr>
          <w:ilvl w:val="0"/>
          <w:numId w:val="1004"/>
        </w:numPr>
        <w:pStyle w:val="Compact"/>
      </w:pPr>
      <w:r>
        <w:rPr>
          <w:bCs/>
          <w:b/>
        </w:rPr>
        <w:t xml:space="preserve">Product Lifespan (`ifhdjikeok`):</w:t>
      </w:r>
      <w:r>
        <w:t xml:space="preserve"> </w:t>
      </w:r>
      <w:r>
        <w:t xml:space="preserve">3 years.</w:t>
      </w:r>
    </w:p>
    <w:p>
      <w:pPr>
        <w:numPr>
          <w:ilvl w:val="0"/>
          <w:numId w:val="1004"/>
        </w:numPr>
        <w:pStyle w:val="Compact"/>
      </w:pPr>
      <w:r>
        <w:rPr>
          <w:bCs/>
          <w:b/>
        </w:rPr>
        <w:t xml:space="preserve">Energy Consumption in Use (`xgmskhedmg`):</w:t>
      </w:r>
      <w:r>
        <w:t xml:space="preserve"> </w:t>
      </w:r>
      <w:r>
        <w:t xml:space="preserve">15 kWh/year.</w:t>
      </w:r>
    </w:p>
    <w:p>
      <w:pPr>
        <w:numPr>
          <w:ilvl w:val="0"/>
          <w:numId w:val="1004"/>
        </w:numPr>
        <w:pStyle w:val="Compact"/>
      </w:pPr>
      <w:r>
        <w:rPr>
          <w:bCs/>
          <w:b/>
        </w:rPr>
        <w:t xml:space="preserve">Electricity Grid Mix (User region, e.g., Europe, illustrative):</w:t>
      </w:r>
      <w:r>
        <w:t xml:space="preserve"> </w:t>
      </w:r>
      <w:r>
        <w:t xml:space="preserve">0.0003 tCO2e/kWh (representative factor, assuming lower carbon intensity for end-user region).</w:t>
      </w:r>
    </w:p>
    <w:bookmarkEnd w:id="32"/>
    <w:bookmarkStart w:id="33" w:name="Xfd069e7e5106f6c55e532b52df751e12046219f"/>
    <w:p>
      <w:pPr>
        <w:pStyle w:val="Heading3"/>
      </w:pPr>
      <w:r>
        <w:t xml:space="preserve">2.5. End-of-Life (Downstream - Scope 3, Category 12)</w:t>
      </w:r>
    </w:p>
    <w:p>
      <w:pPr>
        <w:pStyle w:val="FirstParagraph"/>
      </w:pPr>
      <w:r>
        <w:t xml:space="preserve">End-of-Life (EoL) scenarios are incorporated to reflect circular economy impacts:</w:t>
      </w:r>
    </w:p>
    <w:p>
      <w:pPr>
        <w:numPr>
          <w:ilvl w:val="0"/>
          <w:numId w:val="1005"/>
        </w:numPr>
        <w:pStyle w:val="Compact"/>
      </w:pPr>
      <w:r>
        <w:rPr>
          <w:bCs/>
          <w:b/>
        </w:rPr>
        <w:t xml:space="preserve">Recyclability Percentage (`uvzxsmrtsf`):</w:t>
      </w:r>
      <w:r>
        <w:t xml:space="preserve"> </w:t>
      </w:r>
      <w:r>
        <w:t xml:space="preserve">70% (of total product mass).</w:t>
      </w:r>
    </w:p>
    <w:p>
      <w:pPr>
        <w:numPr>
          <w:ilvl w:val="0"/>
          <w:numId w:val="1005"/>
        </w:numPr>
        <w:pStyle w:val="Compact"/>
      </w:pPr>
      <w:r>
        <w:rPr>
          <w:bCs/>
          <w:b/>
        </w:rPr>
        <w:t xml:space="preserve">Circular/Take-back Programs (`mzfpndnxdi`):</w:t>
      </w:r>
      <w:r>
        <w:t xml:space="preserve"> </w:t>
      </w:r>
      <w:r>
        <w:t xml:space="preserve">Active programs in place.</w:t>
      </w:r>
    </w:p>
    <w:p>
      <w:pPr>
        <w:numPr>
          <w:ilvl w:val="0"/>
          <w:numId w:val="1005"/>
        </w:numPr>
        <w:pStyle w:val="Compact"/>
      </w:pPr>
      <w:r>
        <w:rPr>
          <w:bCs/>
          <w:b/>
        </w:rPr>
        <w:t xml:space="preserve">Total Product Mass:</w:t>
      </w:r>
      <w:r>
        <w:t xml:space="preserve"> </w:t>
      </w:r>
      <w:r>
        <w:t xml:space="preserve">1.4 kg.</w:t>
      </w:r>
    </w:p>
    <w:p>
      <w:pPr>
        <w:numPr>
          <w:ilvl w:val="0"/>
          <w:numId w:val="1005"/>
        </w:numPr>
        <w:pStyle w:val="Compact"/>
      </w:pPr>
      <w:r>
        <w:rPr>
          <w:bCs/>
          <w:b/>
        </w:rPr>
        <w:t xml:space="preserve">Emissions from Disposal (Landfill/Incineration, illustrative):</w:t>
      </w:r>
      <w:r>
        <w:t xml:space="preserve"> </w:t>
      </w:r>
      <w:r>
        <w:t xml:space="preserve">0.00005 tCO2e/kg (for non-recycled portion).</w:t>
      </w:r>
    </w:p>
    <w:p>
      <w:pPr>
        <w:numPr>
          <w:ilvl w:val="0"/>
          <w:numId w:val="1005"/>
        </w:numPr>
        <w:pStyle w:val="Compact"/>
      </w:pPr>
      <w:r>
        <w:rPr>
          <w:bCs/>
          <w:b/>
        </w:rPr>
        <w:t xml:space="preserve">Avoided Emissions from Recycling (illustrative):</w:t>
      </w:r>
      <w:r>
        <w:t xml:space="preserve"> </w:t>
      </w:r>
      <w:r>
        <w:t xml:space="preserve">-0.001 tCO2e/kg (for recycled portion, representing displacement of virgin material production).</w:t>
      </w:r>
    </w:p>
    <w:p>
      <w:r>
        <w:pict>
          <v:rect style="width:0;height:1.5pt" o:hralign="center" o:hrstd="t" o:hr="t"/>
        </w:pict>
      </w:r>
    </w:p>
    <w:bookmarkEnd w:id="33"/>
    <w:bookmarkEnd w:id="34"/>
    <w:bookmarkStart w:id="45"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Protocol\'s Scope definitions. All results are expressed in tonnes of carbon dioxide equivalent (tCO2e).</w:t>
      </w:r>
    </w:p>
    <w:bookmarkStart w:id="35" w:name="overall-product-carbon-footprint-summary"/>
    <w:p>
      <w:pPr>
        <w:pStyle w:val="Heading3"/>
      </w:pPr>
      <w:r>
        <w:t xml:space="preserve">4.1. Overall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(tCO2e/unit)</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0.1567</w:t>
            </w:r>
          </w:p>
        </w:tc>
        <w:tc>
          <w:tcPr/>
          <w:p>
            <w:pPr>
              <w:pStyle w:val="Compact"/>
              <w:jc w:val="left"/>
            </w:pPr>
            <w:r>
              <w:t xml:space="preserve">85.13%</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0.0001</w:t>
            </w:r>
          </w:p>
        </w:tc>
        <w:tc>
          <w:tcPr/>
          <w:p>
            <w:pPr>
              <w:pStyle w:val="Compact"/>
              <w:jc w:val="left"/>
            </w:pPr>
            <w:r>
              <w:t xml:space="preserve">0.05%</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0.0018</w:t>
            </w:r>
          </w:p>
        </w:tc>
        <w:tc>
          <w:tcPr/>
          <w:p>
            <w:pPr>
              <w:pStyle w:val="Compact"/>
              <w:jc w:val="left"/>
            </w:pPr>
            <w:r>
              <w:t xml:space="preserve">0.98%</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0.00042</w:t>
            </w:r>
          </w:p>
        </w:tc>
        <w:tc>
          <w:tcPr/>
          <w:p>
            <w:pPr>
              <w:pStyle w:val="Compact"/>
              <w:jc w:val="left"/>
            </w:pPr>
            <w:r>
              <w:t xml:space="preserve">0.23%</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0.0125</w:t>
            </w:r>
          </w:p>
        </w:tc>
        <w:tc>
          <w:tcPr/>
          <w:p>
            <w:pPr>
              <w:pStyle w:val="Compact"/>
              <w:jc w:val="left"/>
            </w:pPr>
            <w:r>
              <w:t xml:space="preserve">6.79%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0.0135</w:t>
            </w:r>
          </w:p>
        </w:tc>
        <w:tc>
          <w:tcPr/>
          <w:p>
            <w:pPr>
              <w:pStyle w:val="Compact"/>
              <w:jc w:val="left"/>
            </w:pPr>
            <w:r>
              <w:t xml:space="preserve">7.33%</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-0.00096</w:t>
            </w:r>
          </w:p>
        </w:tc>
        <w:tc>
          <w:tcPr/>
          <w:p>
            <w:pPr>
              <w:pStyle w:val="Compact"/>
              <w:jc w:val="left"/>
            </w:pPr>
            <w:r>
              <w:t xml:space="preserve">-0.52%</w:t>
            </w:r>
          </w:p>
        </w:tc>
      </w:tr>
      <w:tr>
        <w:tc>
          <w:tcPr/>
          <w:p>
            <w:pPr>
              <w:pStyle w:val="Compact"/>
              <w:jc w:val="left"/>
            </w:pPr>
            <w:r>
              <w:t xml:space="preserve">TOTAL PCF</w:t>
            </w:r>
          </w:p>
        </w:tc>
        <w:tc>
          <w:tcPr/>
          <w:p>
            <w:pPr>
              <w:pStyle w:val="Compact"/>
            </w:pPr>
          </w:p>
        </w:tc>
        <w:tc>
          <w:tcPr/>
          <w:p>
            <w:pPr>
              <w:pStyle w:val="Compact"/>
              <w:jc w:val="left"/>
            </w:pPr>
            <w:r>
              <w:t xml:space="preserve">0.18406</w:t>
            </w:r>
          </w:p>
        </w:tc>
        <w:tc>
          <w:tcPr/>
          <w:p>
            <w:pPr>
              <w:pStyle w:val="Compact"/>
              <w:jc w:val="left"/>
            </w:pPr>
            <w:r>
              <w:t xml:space="preserve">100.00%</w:t>
            </w:r>
          </w:p>
        </w:tc>
      </w:tr>
    </w:tbl>
    <w:bookmarkEnd w:id="35"/>
    <w:bookmarkStart w:id="41" w:name="detailed-emissions-by-lifecycle-stage"/>
    <w:p>
      <w:pPr>
        <w:pStyle w:val="Heading3"/>
      </w:pPr>
      <w:r>
        <w:t xml:space="preserve">4.2. Detailed Emissions by Lifecycle Stage</w:t>
      </w:r>
    </w:p>
    <w:bookmarkStart w:id="36" w:name="X803f1a2d294c2df7ca399abbc08b79c0f9fca01"/>
    <w:p>
      <w:pPr>
        <w:pStyle w:val="Heading4"/>
      </w:pPr>
      <w:r>
        <w:t xml:space="preserve">4.2.1. Raw Material Acquisition &amp; Pre-processing (Scope 3, Category 1)</w:t>
      </w:r>
    </w:p>
    <w:p>
      <w:pPr>
        <w:pStyle w:val="FirstParagraph"/>
      </w:pPr>
      <w:r>
        <w:t xml:space="preserve">Emissions from purchased goods and services are directly derived from the provided Detailed Bill of Materials (`yszmpvdv`), which includes pre-calculated total carbon values for each component.</w:t>
      </w:r>
    </w:p>
    <w:p>
      <w:pPr>
        <w:numPr>
          <w:ilvl w:val="0"/>
          <w:numId w:val="1006"/>
        </w:numPr>
        <w:pStyle w:val="Compact"/>
      </w:pPr>
      <w:r>
        <w:t xml:space="preserve">Aluminum Casing: 0.0056 tCO2e</w:t>
      </w:r>
    </w:p>
    <w:p>
      <w:pPr>
        <w:numPr>
          <w:ilvl w:val="0"/>
          <w:numId w:val="1006"/>
        </w:numPr>
        <w:pStyle w:val="Compact"/>
      </w:pPr>
      <w:r>
        <w:t xml:space="preserve">ABS Plastic Components: 0.0009 tCO2e</w:t>
      </w:r>
    </w:p>
    <w:p>
      <w:pPr>
        <w:numPr>
          <w:ilvl w:val="0"/>
          <w:numId w:val="1006"/>
        </w:numPr>
        <w:pStyle w:val="Compact"/>
      </w:pPr>
      <w:r>
        <w:t xml:space="preserve">Circuit Board (PCB): 0.1500 tCO2e</w:t>
      </w:r>
    </w:p>
    <w:p>
      <w:pPr>
        <w:numPr>
          <w:ilvl w:val="0"/>
          <w:numId w:val="1006"/>
        </w:numPr>
        <w:pStyle w:val="Compact"/>
      </w:pPr>
      <w:r>
        <w:t xml:space="preserve">Cardboard Packaging: 0.0002 tCO2e</w:t>
      </w:r>
    </w:p>
    <w:p>
      <w:pPr>
        <w:pStyle w:val="FirstParagraph"/>
      </w:pPr>
      <w:r>
        <w:rPr>
          <w:bCs/>
          <w:b/>
        </w:rPr>
        <w:t xml:space="preserve">Total Raw Material Emissions: 0.1567 tCO2e/unit.</w:t>
      </w:r>
    </w:p>
    <w:bookmarkEnd w:id="36"/>
    <w:bookmarkStart w:id="37" w:name="manufacturing-production-phase"/>
    <w:p>
      <w:pPr>
        <w:pStyle w:val="Heading4"/>
      </w:pPr>
      <w:r>
        <w:t xml:space="preserve">4.2.2. Manufacturing (Production Phase)</w:t>
      </w:r>
    </w:p>
    <w:p>
      <w:pPr>
        <w:numPr>
          <w:ilvl w:val="0"/>
          <w:numId w:val="1007"/>
        </w:numPr>
        <w:pStyle w:val="Compact"/>
      </w:pPr>
      <w:r>
        <w:rPr>
          <w:bCs/>
          <w:b/>
        </w:rPr>
        <w:t xml:space="preserve">Scope 1 (Direct Emissions):</w:t>
      </w:r>
      <w:r>
        <w:t xml:space="preserve"> </w:t>
      </w:r>
      <w:r>
        <w:t xml:space="preserve">Emissions from company-owned or controlled sources, e.g., minor fugitive emissions or on-site fuel combustion.</w:t>
      </w:r>
    </w:p>
    <w:p>
      <w:pPr>
        <w:numPr>
          <w:ilvl w:val="1"/>
          <w:numId w:val="1008"/>
        </w:numPr>
        <w:pStyle w:val="Compact"/>
      </w:pPr>
      <w:r>
        <w:t xml:space="preserve">Assumed Direct Process Emissions: 0.0001 tCO2e/unit</w:t>
      </w:r>
    </w:p>
    <w:p>
      <w:pPr>
        <w:numPr>
          <w:ilvl w:val="0"/>
          <w:numId w:val="1007"/>
        </w:numPr>
        <w:pStyle w:val="Compact"/>
      </w:pPr>
      <w:r>
        <w:rPr>
          <w:bCs/>
          <w:b/>
        </w:rPr>
        <w:t xml:space="preserve">Scope 2 (Purchased Energy Emissions):</w:t>
      </w:r>
      <w:r>
        <w:t xml:space="preserve"> </w:t>
      </w:r>
      <w:r>
        <w:t xml:space="preserve">Indirect emissions from the generation of purchased electricity.</w:t>
      </w:r>
    </w:p>
    <w:p>
      <w:pPr>
        <w:numPr>
          <w:ilvl w:val="1"/>
          <w:numId w:val="1009"/>
        </w:numPr>
        <w:pStyle w:val="Compact"/>
      </w:pPr>
      <w:r>
        <w:t xml:space="preserve">Total Energy Consumption: 7.5 kWh/unit [cite: wfldqgfnsx]</w:t>
      </w:r>
    </w:p>
    <w:p>
      <w:pPr>
        <w:numPr>
          <w:ilvl w:val="1"/>
          <w:numId w:val="1009"/>
        </w:numPr>
        <w:pStyle w:val="Compact"/>
      </w:pPr>
      <w:r>
        <w:t xml:space="preserve">Non-renewable Energy Share: 100% - 60% (`pqysdvvxky`) = 40%</w:t>
      </w:r>
    </w:p>
    <w:p>
      <w:pPr>
        <w:numPr>
          <w:ilvl w:val="1"/>
          <w:numId w:val="1009"/>
        </w:numPr>
        <w:pStyle w:val="Compact"/>
      </w:pPr>
      <w:r>
        <w:t xml:space="preserve">Electricity from Grid: 7.5 kWh/unit * 0.40 = 3.0 kWh/unit</w:t>
      </w:r>
    </w:p>
    <w:p>
      <w:pPr>
        <w:numPr>
          <w:ilvl w:val="1"/>
          <w:numId w:val="1009"/>
        </w:numPr>
        <w:pStyle w:val="Compact"/>
      </w:pPr>
      <w:r>
        <w:t xml:space="preserve">Grid Emission Factor (China): 0.0006 tCO2e/kWh</w:t>
      </w:r>
    </w:p>
    <w:p>
      <w:pPr>
        <w:numPr>
          <w:ilvl w:val="1"/>
          <w:numId w:val="1009"/>
        </w:numPr>
        <w:pStyle w:val="Compact"/>
      </w:pPr>
      <w:r>
        <w:t xml:space="preserve">Emissions: 3.0 kWh/unit * 0.0006 tCO2e/kWh = 0.0018 tCO2e/unit</w:t>
      </w:r>
    </w:p>
    <w:p>
      <w:pPr>
        <w:pStyle w:val="FirstParagraph"/>
      </w:pPr>
      <w:r>
        <w:rPr>
          <w:bCs/>
          <w:b/>
        </w:rPr>
        <w:t xml:space="preserve">Total Manufacturing Emissions: 0.0019 tCO2e/unit (0.0001 tCO2e Scope 1, 0.0018 tCO2e Scope 2).</w:t>
      </w:r>
    </w:p>
    <w:bookmarkEnd w:id="37"/>
    <w:bookmarkStart w:id="38" w:name="transportation-distribution"/>
    <w:p>
      <w:pPr>
        <w:pStyle w:val="Heading4"/>
      </w:pPr>
      <w:r>
        <w:t xml:space="preserve">4.2.3. Transportation &amp; Distribution</w:t>
      </w:r>
    </w:p>
    <w:p>
      <w:pPr>
        <w:numPr>
          <w:ilvl w:val="0"/>
          <w:numId w:val="1010"/>
        </w:numPr>
        <w:pStyle w:val="Compact"/>
      </w:pPr>
      <w:r>
        <w:rPr>
          <w:bCs/>
          <w:b/>
        </w:rPr>
        <w:t xml:space="preserve">Upstream Transportation (Scope 3, Category 4 - Upstream transportation and distribution):</w:t>
      </w:r>
      <w:r>
        <w:t xml:space="preserve"> </w:t>
      </w:r>
      <w:r>
        <w:t xml:space="preserve">Inbound transport of raw materials from Europe to China.</w:t>
      </w:r>
    </w:p>
    <w:p>
      <w:pPr>
        <w:numPr>
          <w:ilvl w:val="1"/>
          <w:numId w:val="1011"/>
        </w:numPr>
        <w:pStyle w:val="Compact"/>
      </w:pPr>
      <w:r>
        <w:t xml:space="preserve">Total Inbound Mass per unit: 1.4 kg (0.0014 tonnes)</w:t>
      </w:r>
    </w:p>
    <w:p>
      <w:pPr>
        <w:numPr>
          <w:ilvl w:val="1"/>
          <w:numId w:val="1011"/>
        </w:numPr>
        <w:pStyle w:val="Compact"/>
      </w:pPr>
      <w:r>
        <w:t xml:space="preserve">Transport Distance: 3000 km (`qiqkoimlsu`)</w:t>
      </w:r>
    </w:p>
    <w:p>
      <w:pPr>
        <w:numPr>
          <w:ilvl w:val="1"/>
          <w:numId w:val="1011"/>
        </w:numPr>
        <w:pStyle w:val="Compact"/>
      </w:pPr>
      <w:r>
        <w:t xml:space="preserve">Mode: Road freight (Heavy Goods Vehicle)</w:t>
      </w:r>
    </w:p>
    <w:p>
      <w:pPr>
        <w:numPr>
          <w:ilvl w:val="1"/>
          <w:numId w:val="1011"/>
        </w:numPr>
        <w:pStyle w:val="Compact"/>
      </w:pPr>
      <w:r>
        <w:t xml:space="preserve">Emission Factor: 0.0001 tCO2e/tkm</w:t>
      </w:r>
    </w:p>
    <w:p>
      <w:pPr>
        <w:numPr>
          <w:ilvl w:val="1"/>
          <w:numId w:val="1011"/>
        </w:numPr>
        <w:pStyle w:val="Compact"/>
      </w:pPr>
      <w:r>
        <w:t xml:space="preserve">Emissions: 0.0014 tonnes * 3000 km * 0.0001 tCO2e/tkm = 0.00042 tCO2e/unit</w:t>
      </w:r>
    </w:p>
    <w:p>
      <w:pPr>
        <w:numPr>
          <w:ilvl w:val="0"/>
          <w:numId w:val="1010"/>
        </w:numPr>
        <w:pStyle w:val="Compact"/>
      </w:pPr>
      <w:r>
        <w:rPr>
          <w:bCs/>
          <w:b/>
        </w:rPr>
        <w:t xml:space="preserve">Downstream Transportation (Scope 3, Category 9 - Downstream transportation and distribution):</w:t>
      </w:r>
      <w:r>
        <w:t xml:space="preserve"> </w:t>
      </w:r>
      <w:r>
        <w:t xml:space="preserve">Last-mile delivery to end-customer.</w:t>
      </w:r>
    </w:p>
    <w:p>
      <w:pPr>
        <w:numPr>
          <w:ilvl w:val="1"/>
          <w:numId w:val="1012"/>
        </w:numPr>
        <w:pStyle w:val="Compact"/>
      </w:pPr>
      <w:r>
        <w:t xml:space="preserve">Last-Mile Distance (assumed): 50 km</w:t>
      </w:r>
    </w:p>
    <w:p>
      <w:pPr>
        <w:numPr>
          <w:ilvl w:val="1"/>
          <w:numId w:val="1012"/>
        </w:numPr>
        <w:pStyle w:val="Compact"/>
      </w:pPr>
      <w:r>
        <w:t xml:space="preserve">Mode: Van Delivery</w:t>
      </w:r>
    </w:p>
    <w:p>
      <w:pPr>
        <w:numPr>
          <w:ilvl w:val="1"/>
          <w:numId w:val="1012"/>
        </w:numPr>
        <w:pStyle w:val="Compact"/>
      </w:pPr>
      <w:r>
        <w:t xml:space="preserve">Emission Factor: 0.00025 tCO2e/km</w:t>
      </w:r>
    </w:p>
    <w:p>
      <w:pPr>
        <w:numPr>
          <w:ilvl w:val="1"/>
          <w:numId w:val="1012"/>
        </w:numPr>
        <w:pStyle w:val="Compact"/>
      </w:pPr>
      <w:r>
        <w:t xml:space="preserve">Emissions: 50 km * 0.00025 tCO2e/km = 0.0125 tCO2e/unit</w:t>
      </w:r>
    </w:p>
    <w:p>
      <w:pPr>
        <w:pStyle w:val="FirstParagraph"/>
      </w:pPr>
      <w:r>
        <w:rPr>
          <w:bCs/>
          <w:b/>
        </w:rPr>
        <w:t xml:space="preserve">Total Transportation Emissions: 0.01292 tCO2e/unit.</w:t>
      </w:r>
    </w:p>
    <w:bookmarkEnd w:id="38"/>
    <w:bookmarkStart w:id="39" w:name="Xe72837a908ad344b018b3447ff671a3dec19470"/>
    <w:p>
      <w:pPr>
        <w:pStyle w:val="Heading4"/>
      </w:pPr>
      <w:r>
        <w:t xml:space="preserve">4.2.4. Use Phase (Scope 3, Category 11 - Use of Sold Products)</w:t>
      </w:r>
    </w:p>
    <w:p>
      <w:pPr>
        <w:pStyle w:val="FirstParagraph"/>
      </w:pPr>
      <w:r>
        <w:t xml:space="preserve">Emissions associated with the energy consumption during the product\'s operational life.</w:t>
      </w:r>
    </w:p>
    <w:p>
      <w:pPr>
        <w:numPr>
          <w:ilvl w:val="0"/>
          <w:numId w:val="1013"/>
        </w:numPr>
        <w:pStyle w:val="Compact"/>
      </w:pPr>
      <w:r>
        <w:t xml:space="preserve">Product Lifespan: 3 years (`ifhdjikeok`)</w:t>
      </w:r>
    </w:p>
    <w:p>
      <w:pPr>
        <w:numPr>
          <w:ilvl w:val="0"/>
          <w:numId w:val="1013"/>
        </w:numPr>
        <w:pStyle w:val="Compact"/>
      </w:pPr>
      <w:r>
        <w:t xml:space="preserve">Annual Energy Consumption: 15 kWh/year (`xgmskhedmg`)</w:t>
      </w:r>
    </w:p>
    <w:p>
      <w:pPr>
        <w:numPr>
          <w:ilvl w:val="0"/>
          <w:numId w:val="1013"/>
        </w:numPr>
        <w:pStyle w:val="Compact"/>
      </w:pPr>
      <w:r>
        <w:t xml:space="preserve">Total Energy Consumption over Lifespan: 15 kWh/year * 3 years = 45 kWh/unit</w:t>
      </w:r>
    </w:p>
    <w:p>
      <w:pPr>
        <w:numPr>
          <w:ilvl w:val="0"/>
          <w:numId w:val="1013"/>
        </w:numPr>
        <w:pStyle w:val="Compact"/>
      </w:pPr>
      <w:r>
        <w:t xml:space="preserve">Electricity Grid Mix (User Region, illustrative): 0.0003 tCO2e/kWh</w:t>
      </w:r>
    </w:p>
    <w:p>
      <w:pPr>
        <w:numPr>
          <w:ilvl w:val="0"/>
          <w:numId w:val="1013"/>
        </w:numPr>
        <w:pStyle w:val="Compact"/>
      </w:pPr>
      <w:r>
        <w:t xml:space="preserve">Emissions: 45 kWh/unit * 0.0003 tCO2e/kWh = 0.0135 tCO2e/unit</w:t>
      </w:r>
    </w:p>
    <w:p>
      <w:pPr>
        <w:pStyle w:val="FirstParagraph"/>
      </w:pPr>
      <w:r>
        <w:rPr>
          <w:bCs/>
          <w:b/>
        </w:rPr>
        <w:t xml:space="preserve">Total Use Phase Emissions: 0.0135 tCO2e/unit.</w:t>
      </w:r>
    </w:p>
    <w:bookmarkEnd w:id="39"/>
    <w:bookmarkStart w:id="40" w:name="Xff63d2cf01192e5d14cf356a4910ee24c65452c"/>
    <w:p>
      <w:pPr>
        <w:pStyle w:val="Heading4"/>
      </w:pPr>
      <w:r>
        <w:t xml:space="preserve">4.2.5. End-of-Life (Scope 3, Category 12 - End-of-Life Treatment of Sold Products)</w:t>
      </w:r>
    </w:p>
    <w:p>
      <w:pPr>
        <w:pStyle w:val="FirstParagraph"/>
      </w:pPr>
      <w:r>
        <w:t xml:space="preserve">Emissions from product disposal and avoided emissions from recycling.</w:t>
      </w:r>
    </w:p>
    <w:p>
      <w:pPr>
        <w:numPr>
          <w:ilvl w:val="0"/>
          <w:numId w:val="1014"/>
        </w:numPr>
        <w:pStyle w:val="Compact"/>
      </w:pPr>
      <w:r>
        <w:t xml:space="preserve">Total Product Mass: 1.4 kg (0.0014 tonnes)</w:t>
      </w:r>
    </w:p>
    <w:p>
      <w:pPr>
        <w:numPr>
          <w:ilvl w:val="0"/>
          <w:numId w:val="1014"/>
        </w:numPr>
        <w:pStyle w:val="Compact"/>
      </w:pPr>
      <w:r>
        <w:t xml:space="preserve">Recycled Mass: 1.4 kg * 0.70 (`uvzxsmrtsf`) = 0.98 kg</w:t>
      </w:r>
    </w:p>
    <w:p>
      <w:pPr>
        <w:numPr>
          <w:ilvl w:val="0"/>
          <w:numId w:val="1014"/>
        </w:numPr>
        <w:pStyle w:val="Compact"/>
      </w:pPr>
      <w:r>
        <w:t xml:space="preserve">Disposed Mass (e.g., landfill/incineration): 1.4 kg * 0.30 = 0.42 kg</w:t>
      </w:r>
    </w:p>
    <w:p>
      <w:pPr>
        <w:numPr>
          <w:ilvl w:val="0"/>
          <w:numId w:val="1014"/>
        </w:numPr>
        <w:pStyle w:val="Compact"/>
      </w:pPr>
      <w:r>
        <w:t xml:space="preserve">Emissions from Disposal: 0.42 kg * 0.00005 tCO2e/kg = 0.000021 tCO2e</w:t>
      </w:r>
    </w:p>
    <w:p>
      <w:pPr>
        <w:numPr>
          <w:ilvl w:val="0"/>
          <w:numId w:val="1014"/>
        </w:numPr>
        <w:pStyle w:val="Compact"/>
      </w:pPr>
      <w:r>
        <w:t xml:space="preserve">Avoided Emissions from Recycling (illustrative): 0.98 kg * -0.001 tCO2e/kg = -0.00098 tCO2e</w:t>
      </w:r>
    </w:p>
    <w:p>
      <w:pPr>
        <w:numPr>
          <w:ilvl w:val="0"/>
          <w:numId w:val="1014"/>
        </w:numPr>
        <w:pStyle w:val="Compact"/>
      </w:pPr>
      <w:r>
        <w:rPr>
          <w:bCs/>
          <w:b/>
        </w:rPr>
        <w:t xml:space="preserve">Net End-of-Life Emissions: 0.000021 - 0.00098 = -0.000959 tCO2e/unit.</w:t>
      </w:r>
    </w:p>
    <w:p>
      <w:pPr>
        <w:pStyle w:val="FirstParagraph"/>
      </w:pPr>
      <w:r>
        <w:t xml:space="preserve">The negative value indicates a net carbon avoidance or removal through recycling, reflecting the impact of</w:t>
      </w:r>
      <w:r>
        <w:t xml:space="preserve"> </w:t>
      </w:r>
      <w:r>
        <w:rPr>
          <w:bCs/>
          <w:b/>
        </w:rPr>
        <w:t xml:space="preserve">mzfpndnxdi</w:t>
      </w:r>
      <w:r>
        <w:t xml:space="preserve"> </w:t>
      </w:r>
      <w:r>
        <w:t xml:space="preserve">(Active circular/take-back programs).</w:t>
      </w:r>
    </w:p>
    <w:bookmarkEnd w:id="40"/>
    <w:bookmarkEnd w:id="41"/>
    <w:bookmarkStart w:id="42" w:name="ghg-protocol-scopes-breakdown"/>
    <w:p>
      <w:pPr>
        <w:pStyle w:val="Heading3"/>
      </w:pPr>
      <w:r>
        <w:t xml:space="preserve">4.3. GHG Protocol Scopes Breakdown</w:t>
      </w:r>
    </w:p>
    <w:p>
      <w:pPr>
        <w:pStyle w:val="FirstParagraph"/>
      </w:pPr>
      <w:r>
        <w:t xml:space="preserve">A breakdown of the total PCF by GHG Protocol Scopes:</w:t>
      </w:r>
    </w:p>
    <w:p>
      <w:pPr>
        <w:numPr>
          <w:ilvl w:val="0"/>
          <w:numId w:val="1015"/>
        </w:numPr>
        <w:pStyle w:val="Compact"/>
      </w:pPr>
      <w:r>
        <w:rPr>
          <w:bCs/>
          <w:b/>
        </w:rPr>
        <w:t xml:space="preserve">Scope 1 Emissions:</w:t>
      </w:r>
      <w:r>
        <w:t xml:space="preserve"> </w:t>
      </w:r>
      <w:r>
        <w:t xml:space="preserve">0.0001 tCO2e (Direct emissions from manufacturing processes).</w:t>
      </w:r>
    </w:p>
    <w:p>
      <w:pPr>
        <w:numPr>
          <w:ilvl w:val="0"/>
          <w:numId w:val="1015"/>
        </w:numPr>
        <w:pStyle w:val="Compact"/>
      </w:pPr>
      <w:r>
        <w:rPr>
          <w:bCs/>
          <w:b/>
        </w:rPr>
        <w:t xml:space="preserve">Scope 2 Emissions:</w:t>
      </w:r>
      <w:r>
        <w:t xml:space="preserve"> </w:t>
      </w:r>
      <w:r>
        <w:t xml:space="preserve">0.0018 tCO2e (Indirect emissions from purchased electricity for manufacturing).</w:t>
      </w:r>
    </w:p>
    <w:p>
      <w:pPr>
        <w:numPr>
          <w:ilvl w:val="0"/>
          <w:numId w:val="1015"/>
        </w:numPr>
        <w:pStyle w:val="Compact"/>
      </w:pPr>
      <w:r>
        <w:rPr>
          <w:bCs/>
          <w:b/>
        </w:rPr>
        <w:t xml:space="preserve">Scope 3 Emissions:</w:t>
      </w:r>
      <w:r>
        <w:t xml:space="preserve"> </w:t>
      </w:r>
      <w:r>
        <w:t xml:space="preserve">0.18216 tCO2e (All other indirect emissions across the value chain, including raw materials, transportation, use, and end-of-life).</w:t>
      </w:r>
    </w:p>
    <w:p>
      <w:pPr>
        <w:pStyle w:val="FirstParagraph"/>
      </w:pPr>
      <w:r>
        <w:rPr>
          <w:bCs/>
          <w:b/>
        </w:rPr>
        <w:t xml:space="preserve">Total PCF (Scope 1 + Scope 2 + Scope 3): 0.18406 tCO2e/unit.</w:t>
      </w:r>
    </w:p>
    <w:bookmarkEnd w:id="42"/>
    <w:bookmarkStart w:id="43" w:name="land-sector-and-removals-lsr-update"/>
    <w:p>
      <w:pPr>
        <w:pStyle w:val="Heading3"/>
      </w:pPr>
      <w:r>
        <w:t xml:space="preserve">4.4. 2026 Land Sector and Removals (LSR) Update</w:t>
      </w:r>
    </w:p>
    <w:p>
      <w:pPr>
        <w:pStyle w:val="FirstParagraph"/>
      </w:pPr>
      <w:r>
        <w:t xml:space="preserve">This analysis acknowledges the</w:t>
      </w:r>
      <w:r>
        <w:t xml:space="preserve"> </w:t>
      </w:r>
      <w:r>
        <w:rPr>
          <w:bCs/>
          <w:b/>
        </w:rPr>
        <w:t xml:space="preserve">GHG Protocol\'s Land Sector and Removals (LSR) Standard</w:t>
      </w:r>
      <w:r>
        <w:t xml:space="preserve">, released on January 30, 2026, and effective January 1, 2027. This standard provides critical guidance for accounting for land sector emissions (e.g., land use change, land management) and CO2 removals, particularly relevant for companies with significant land-based activities or biogenic products. While specific land use data for the raw materials in</w:t>
      </w:r>
      <w:r>
        <w:t xml:space="preserve"> </w:t>
      </w:r>
      <w:r>
        <w:rPr>
          <w:bCs/>
          <w:b/>
        </w:rPr>
        <w:t xml:space="preserve">qvtdzrxnhq</w:t>
      </w:r>
      <w:r>
        <w:t xml:space="preserve"> </w:t>
      </w:r>
      <w:r>
        <w:t xml:space="preserve">was not provided in the parameters, the principles of the LSR Standard are considered to ensure future readiness and comprehensive reporting. Detailed application would require specific data on land-use change impacts associated with raw material sourcing.</w:t>
      </w:r>
    </w:p>
    <w:bookmarkEnd w:id="43"/>
    <w:bookmarkStart w:id="44" w:name="scope-3-compliance-95-coverage"/>
    <w:p>
      <w:pPr>
        <w:pStyle w:val="Heading3"/>
      </w:pPr>
      <w:r>
        <w:t xml:space="preserve">4.5. Scope 3 Compliance (95% Coverage)</w:t>
      </w:r>
    </w:p>
    <w:p>
      <w:pPr>
        <w:pStyle w:val="FirstParagraph"/>
      </w:pPr>
      <w:r>
        <w:t xml:space="preserve">As per 2026 requirements, this report aims for at least 95% coverage for Scope 3 reporting. The detailed breakdown across upstream and downstream categories (purchased goods, transportation, use, and end-of-life) ensures a comprehensive capture of value chain emissions, which often represent the majority of a product\'s carbon footprint. The identified hotspots in Scope 3 confirm its significance in the overall PCF.</w:t>
      </w:r>
    </w:p>
    <w:p>
      <w:r>
        <w:pict>
          <v:rect style="width:0;height:1.5pt" o:hralign="center" o:hrstd="t" o:hr="t"/>
        </w:pict>
      </w:r>
    </w:p>
    <w:bookmarkEnd w:id="44"/>
    <w:bookmarkEnd w:id="45"/>
    <w:bookmarkStart w:id="49" w:name="review-reporting"/>
    <w:p>
      <w:pPr>
        <w:pStyle w:val="Heading2"/>
      </w:pPr>
      <w:r>
        <w:t xml:space="preserve">5. Review &amp; Reporting</w:t>
      </w:r>
    </w:p>
    <w:bookmarkStart w:id="46" w:name="hotspot-identification"/>
    <w:p>
      <w:pPr>
        <w:pStyle w:val="Heading3"/>
      </w:pPr>
      <w:r>
        <w:t xml:space="preserve">5.1. Hotspot Identification</w:t>
      </w:r>
    </w:p>
    <w:p>
      <w:pPr>
        <w:pStyle w:val="FirstParagraph"/>
      </w:pPr>
      <w:r>
        <w:t xml:space="preserve">The analysis reveals that the most significant contributor to the carbon footprint of</w:t>
      </w:r>
      <w:r>
        <w:t xml:space="preserve"> </w:t>
      </w:r>
      <w:r>
        <w:rPr>
          <w:bCs/>
          <w:b/>
        </w:rPr>
        <w:t xml:space="preserve">qvtdzrxnhq</w:t>
      </w:r>
      <w:r>
        <w:t xml:space="preserve"> </w:t>
      </w:r>
      <w:r>
        <w:t xml:space="preserve">is the</w:t>
      </w:r>
      <w:r>
        <w:t xml:space="preserve"> </w:t>
      </w:r>
      <w:r>
        <w:rPr>
          <w:bCs/>
          <w:b/>
        </w:rPr>
        <w:t xml:space="preserve">Raw Material Acquisition &amp; Pre-processing</w:t>
      </w:r>
      <w:r>
        <w:t xml:space="preserve"> </w:t>
      </w:r>
      <w:r>
        <w:t xml:space="preserve">phase (Scope 3, Category 1), accounting for approximately 85.13% of the total PCF. The Circuit Board (PCB) component, in particular, has a substantial impact. The next significant hotspots are the Use Phase and Downstream Transportation (Last-Mile Delivery).</w:t>
      </w:r>
    </w:p>
    <w:p>
      <w:pPr>
        <w:numPr>
          <w:ilvl w:val="0"/>
          <w:numId w:val="1016"/>
        </w:numPr>
        <w:pStyle w:val="Compact"/>
      </w:pPr>
      <w:r>
        <w:rPr>
          <w:bCs/>
          <w:b/>
        </w:rPr>
        <w:t xml:space="preserve">Primary Hotspot:</w:t>
      </w:r>
      <w:r>
        <w:t xml:space="preserve"> </w:t>
      </w:r>
      <w:r>
        <w:t xml:space="preserve">Raw Material Acquisition (especially electronics manufacturing)</w:t>
      </w:r>
    </w:p>
    <w:p>
      <w:pPr>
        <w:numPr>
          <w:ilvl w:val="0"/>
          <w:numId w:val="1016"/>
        </w:numPr>
        <w:pStyle w:val="Compact"/>
      </w:pPr>
      <w:r>
        <w:rPr>
          <w:bCs/>
          <w:b/>
        </w:rPr>
        <w:t xml:space="preserve">Secondary Hotspots:</w:t>
      </w:r>
      <w:r>
        <w:t xml:space="preserve"> </w:t>
      </w:r>
      <w:r>
        <w:t xml:space="preserve">Use Phase (energy consumption) and Last-Mile Delivery.</w:t>
      </w:r>
    </w:p>
    <w:bookmarkEnd w:id="46"/>
    <w:bookmarkStart w:id="47" w:name="reliability-limitations"/>
    <w:p>
      <w:pPr>
        <w:pStyle w:val="Heading3"/>
      </w:pPr>
      <w:r>
        <w:t xml:space="preserve">5.2. Reliability &amp; Limitations</w:t>
      </w:r>
    </w:p>
    <w:p>
      <w:pPr>
        <w:pStyle w:val="FirstParagraph"/>
      </w:pPr>
      <w:r>
        <w:t xml:space="preserve">The reliability of this PCF analysis is directly dependent on the accuracy and completeness of the input data.</w:t>
      </w:r>
    </w:p>
    <w:p>
      <w:pPr>
        <w:numPr>
          <w:ilvl w:val="0"/>
          <w:numId w:val="1017"/>
        </w:numPr>
        <w:pStyle w:val="Compact"/>
      </w:pPr>
      <w:r>
        <w:rPr>
          <w:bCs/>
          <w:b/>
        </w:rPr>
        <w:t xml:space="preserve">Strengths:</w:t>
      </w:r>
      <w:r>
        <w:t xml:space="preserve"> </w:t>
      </w:r>
      <w:r>
        <w:t xml:space="preserve">Utilization of specific Bill of Materials data and detailed operational parameters (renewable energy usage, energy intensity, product lifespan, energy consumption in use, recyclability). Adherence to GHG Protocol methodology ensures a structured and consistent approach.</w:t>
      </w:r>
    </w:p>
    <w:p>
      <w:pPr>
        <w:numPr>
          <w:ilvl w:val="0"/>
          <w:numId w:val="1017"/>
        </w:numPr>
        <w:pStyle w:val="Compact"/>
      </w:pPr>
      <w:r>
        <w:rPr>
          <w:bCs/>
          <w:b/>
        </w:rPr>
        <w:t xml:space="preserve">Limitations:</w:t>
      </w:r>
      <w:r>
        <w:t xml:space="preserve"> </w:t>
      </w:r>
      <w:r>
        <w:t xml:space="preserve">Illustrative emission factors were used for various processes (e.g., grid electricity mix for China and user region, transport modes, end-of-life scenarios) due to the absence of specific vendor-provided or regional database links. These factors are representative but may vary from actual specific supplier data. The assumed inbound transport distance and last-mile delivery distance are also illustrative.</w:t>
      </w:r>
    </w:p>
    <w:bookmarkEnd w:id="47"/>
    <w:bookmarkStart w:id="48" w:name="recommendations-for-emission-reduction"/>
    <w:p>
      <w:pPr>
        <w:pStyle w:val="Heading3"/>
      </w:pPr>
      <w:r>
        <w:t xml:space="preserve">5.3. Recommendations for Emission Reduction</w:t>
      </w:r>
    </w:p>
    <w:p>
      <w:pPr>
        <w:pStyle w:val="FirstParagraph"/>
      </w:pPr>
      <w:r>
        <w:t xml:space="preserve">Based on the identified hotspots,</w:t>
      </w:r>
      <w:r>
        <w:t xml:space="preserve"> </w:t>
      </w:r>
      <w:r>
        <w:rPr>
          <w:bCs/>
          <w:b/>
        </w:rPr>
        <w:t xml:space="preserve">vezhtphpjj</w:t>
      </w:r>
      <w:r>
        <w:t xml:space="preserve"> </w:t>
      </w:r>
      <w:r>
        <w:t xml:space="preserve">can focus its efforts on the following areas to reduce the PCF of</w:t>
      </w:r>
      <w:r>
        <w:t xml:space="preserve"> </w:t>
      </w:r>
      <w:r>
        <w:rPr>
          <w:bCs/>
          <w:b/>
        </w:rPr>
        <w:t xml:space="preserve">qvtdzrxnhq</w:t>
      </w:r>
      <w:r>
        <w:t xml:space="preserve">:</w:t>
      </w:r>
    </w:p>
    <w:p>
      <w:pPr>
        <w:numPr>
          <w:ilvl w:val="0"/>
          <w:numId w:val="1018"/>
        </w:numPr>
        <w:pStyle w:val="Compact"/>
      </w:pPr>
      <w:r>
        <w:rPr>
          <w:bCs/>
          <w:b/>
        </w:rPr>
        <w:t xml:space="preserve">Material Optimization:</w:t>
      </w:r>
    </w:p>
    <w:p>
      <w:pPr>
        <w:numPr>
          <w:ilvl w:val="1"/>
          <w:numId w:val="1019"/>
        </w:numPr>
        <w:pStyle w:val="Compact"/>
      </w:pPr>
      <w:r>
        <w:t xml:space="preserve">Engage with suppliers for lower-carbon alternatives for critical components like Circuit Boards (PCB) and Aluminum.</w:t>
      </w:r>
    </w:p>
    <w:p>
      <w:pPr>
        <w:numPr>
          <w:ilvl w:val="1"/>
          <w:numId w:val="1019"/>
        </w:numPr>
        <w:pStyle w:val="Compact"/>
      </w:pPr>
      <w:r>
        <w:t xml:space="preserve">Explore options for recycled content in materials, particularly aluminum and plastics, to reduce the impact of virgin material production.</w:t>
      </w:r>
    </w:p>
    <w:p>
      <w:pPr>
        <w:numPr>
          <w:ilvl w:val="1"/>
          <w:numId w:val="1019"/>
        </w:numPr>
        <w:pStyle w:val="Compact"/>
      </w:pPr>
      <w:r>
        <w:t xml:space="preserve">Optimize material usage to minimize waste in the production process.</w:t>
      </w:r>
    </w:p>
    <w:p>
      <w:pPr>
        <w:numPr>
          <w:ilvl w:val="0"/>
          <w:numId w:val="1018"/>
        </w:numPr>
        <w:pStyle w:val="Compact"/>
      </w:pPr>
      <w:r>
        <w:rPr>
          <w:bCs/>
          <w:b/>
        </w:rPr>
        <w:t xml:space="preserve">Energy Efficiency in Use Phase:</w:t>
      </w:r>
    </w:p>
    <w:p>
      <w:pPr>
        <w:numPr>
          <w:ilvl w:val="1"/>
          <w:numId w:val="1020"/>
        </w:numPr>
        <w:pStyle w:val="Compact"/>
      </w:pPr>
      <w:r>
        <w:t xml:space="preserve">Design the product for optimal energy efficiency during its operational lifespan to reduce downstream Scope 3 emissions.</w:t>
      </w:r>
    </w:p>
    <w:p>
      <w:pPr>
        <w:numPr>
          <w:ilvl w:val="1"/>
          <w:numId w:val="1020"/>
        </w:numPr>
        <w:pStyle w:val="Compact"/>
      </w:pPr>
      <w:r>
        <w:t xml:space="preserve">Provide guidance to consumers on energy-efficient usage and encourage the use of renewable energy sources for charging/powering the product.</w:t>
      </w:r>
    </w:p>
    <w:p>
      <w:pPr>
        <w:numPr>
          <w:ilvl w:val="0"/>
          <w:numId w:val="1018"/>
        </w:numPr>
        <w:pStyle w:val="Compact"/>
      </w:pPr>
      <w:r>
        <w:rPr>
          <w:bCs/>
          <w:b/>
        </w:rPr>
        <w:t xml:space="preserve">Logistics Optimization:</w:t>
      </w:r>
    </w:p>
    <w:p>
      <w:pPr>
        <w:numPr>
          <w:ilvl w:val="1"/>
          <w:numId w:val="1021"/>
        </w:numPr>
        <w:pStyle w:val="Compact"/>
      </w:pPr>
      <w:r>
        <w:t xml:space="preserve">Optimize transportation routes and modes for both inbound raw materials and outbound finished products, prioritizing lower-emission options (e.g., rail or sea freight where feasible) over road transport for long distances.</w:t>
      </w:r>
    </w:p>
    <w:p>
      <w:pPr>
        <w:numPr>
          <w:ilvl w:val="1"/>
          <w:numId w:val="1021"/>
        </w:numPr>
        <w:pStyle w:val="Compact"/>
      </w:pPr>
      <w:r>
        <w:t xml:space="preserve">Consolidate shipments to improve load factors and reduce per-unit transport emissions.</w:t>
      </w:r>
    </w:p>
    <w:p>
      <w:pPr>
        <w:numPr>
          <w:ilvl w:val="1"/>
          <w:numId w:val="1021"/>
        </w:numPr>
        <w:pStyle w:val="Compact"/>
      </w:pPr>
      <w:r>
        <w:t xml:space="preserve">Explore local sourcing opportunities to reduce transport distances, particularly for raw materials.</w:t>
      </w:r>
    </w:p>
    <w:p>
      <w:pPr>
        <w:numPr>
          <w:ilvl w:val="0"/>
          <w:numId w:val="1018"/>
        </w:numPr>
        <w:pStyle w:val="Compact"/>
      </w:pPr>
      <w:r>
        <w:rPr>
          <w:bCs/>
          <w:b/>
        </w:rPr>
        <w:t xml:space="preserve">Circular Economy Initiatives:</w:t>
      </w:r>
    </w:p>
    <w:p>
      <w:pPr>
        <w:numPr>
          <w:ilvl w:val="1"/>
          <w:numId w:val="1022"/>
        </w:numPr>
        <w:pStyle w:val="Compact"/>
      </w:pPr>
      <w:r>
        <w:t xml:space="preserve">Further enhance existing circular/take-back programs to maximize product lifespan and material recovery.</w:t>
      </w:r>
    </w:p>
    <w:p>
      <w:pPr>
        <w:numPr>
          <w:ilvl w:val="1"/>
          <w:numId w:val="1022"/>
        </w:numPr>
        <w:pStyle w:val="Compact"/>
      </w:pPr>
      <w:r>
        <w:t xml:space="preserve">Investigate design for disassembly and repair to facilitate higher recycling rates and component reuse.</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qvtdzrxnhq</dc:title>
  <dc:creator/>
  <dc:description>Detailed Product Carbon Footprint (PCF) analysis report for qvtdzrxnhq, performed by sezqkrudix for vezhtphpjj, adhering to GHG Protocol standards and incorporating 2026 LSR updates.</dc:description>
  <dc:language>en</dc:language>
  <cp:keywords/>
  <dcterms:created xsi:type="dcterms:W3CDTF">2026-07-15T11:42:55Z</dcterms:created>
  <dcterms:modified xsi:type="dcterms:W3CDTF">2026-07-15T11:42:55Z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