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ptjdejkquo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Product: ptjdejkquo</w:t>
      </w:r>
    </w:p>
    <w:p>
      <w:pPr>
        <w:pStyle w:val="BodyText"/>
      </w:pPr>
      <w:r>
        <w:t xml:space="preserve">Company: njmtzjnqgw</w:t>
      </w:r>
    </w:p>
    <w:p>
      <w:pPr>
        <w:pStyle w:val="BodyText"/>
      </w:pPr>
      <w:r>
        <w:t xml:space="preserve">Senior Sustainability Consultant: ideymdioep</w:t>
      </w:r>
    </w:p>
    <w:p>
      <w:pPr>
        <w:pStyle w:val="BodyText"/>
      </w:pPr>
      <w:r>
        <w:t xml:space="preserve">Disclaimer: This report is generated based on available data, industry standards, and specific parameters provided.</w:t>
      </w:r>
      <w:r>
        <w:t xml:space="preserve"> </w:t>
      </w:r>
      <w:r>
        <w:t xml:space="preserve">Illustrative emission factors and consumption data have been used where specific values were not provided</w:t>
      </w:r>
      <w:r>
        <w:t xml:space="preserve"> </w:t>
      </w:r>
      <w:r>
        <w:t xml:space="preserve">beyond placeholders, to demonstrate the methodology. Actual results may vary with precise primary data.</w:t>
      </w:r>
    </w:p>
    <w:bookmarkEnd w:id="20"/>
    <w:bookmarkStart w:id="50" w:name="Xb1a83bb9dfa491342abb5b5c40a984b32a2731a"/>
    <w:p>
      <w:pPr>
        <w:pStyle w:val="Heading1"/>
      </w:pPr>
      <w:r>
        <w:t xml:space="preserve">Product Carbon Footprint Analysis Report: ptjdejkquo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22, 2026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ptjdejkquo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. The analysis, conducted by</w:t>
      </w:r>
      <w:r>
        <w:t xml:space="preserve"> </w:t>
      </w:r>
      <w:r>
        <w:rPr>
          <w:bCs/>
          <w:b/>
        </w:rPr>
        <w:t xml:space="preserve">ideymdioep</w:t>
      </w:r>
      <w:r>
        <w:t xml:space="preserve">, Senior Sustainability Consultant,</w:t>
      </w:r>
      <w:r>
        <w:t xml:space="preserve"> </w:t>
      </w:r>
      <w:r>
        <w:t xml:space="preserve">adheres strictly to the GHG Protocol accounting standard, incorporating the forthcoming 2026 Land Sector and Removals (LSR) update</w:t>
      </w:r>
      <w:r>
        <w:t xml:space="preserve"> </w:t>
      </w:r>
      <w:r>
        <w:t xml:space="preserve">and aiming for at least 95% Scope 3 coverage. The primary goal is to quantify the greenhouse gas (GHG) emissions</w:t>
      </w:r>
      <w:r>
        <w:t xml:space="preserve"> </w:t>
      </w:r>
      <w:r>
        <w:t xml:space="preserve">associated with the product\'s entire life cycle, from raw material acquisition through end-of-life treatment,</w:t>
      </w:r>
      <w:r>
        <w:t xml:space="preserve"> </w:t>
      </w:r>
      <w:r>
        <w:t xml:space="preserve">to identify key emission hotspots and inform strategic sustainability improvements.</w:t>
      </w:r>
    </w:p>
    <w:p>
      <w:r>
        <w:pict>
          <v:rect style="width:0;height:1.5pt" o:hralign="center" o:hrstd="t" o:hr="t"/>
        </w:pict>
      </w:r>
    </w:p>
    <w:bookmarkEnd w:id="21"/>
    <w:bookmarkStart w:id="27" w:name="introduction-and-scope-definition"/>
    <w:p>
      <w:pPr>
        <w:pStyle w:val="Heading2"/>
      </w:pPr>
      <w:r>
        <w:t xml:space="preserve">1. Introduction and Scope Definition</w:t>
      </w:r>
    </w:p>
    <w:p>
      <w:pPr>
        <w:pStyle w:val="FirstParagraph"/>
      </w:pPr>
      <w:r>
        <w:t xml:space="preserve">The Product Carbon Footprint (PCF) for</w:t>
      </w:r>
      <w:r>
        <w:t xml:space="preserve"> </w:t>
      </w:r>
      <w:r>
        <w:rPr>
          <w:bCs/>
          <w:b/>
        </w:rPr>
        <w:t xml:space="preserve">ptjdejkquo</w:t>
      </w:r>
      <w:r>
        <w:t xml:space="preserve">, from</w:t>
      </w:r>
      <w:r>
        <w:t xml:space="preserve"> </w:t>
      </w:r>
      <w:r>
        <w:rPr>
          <w:bCs/>
          <w:b/>
        </w:rPr>
        <w:t xml:space="preserve">njmtzjnqgw</w:t>
      </w:r>
      <w:r>
        <w:t xml:space="preserve">, is calculated following the</w:t>
      </w:r>
      <w:r>
        <w:t xml:space="preserve"> </w:t>
      </w:r>
      <w:r>
        <w:t xml:space="preserve">principles and requirements of the Greenhouse Gas (GHG) Protocol. This comprehensive analysis considers emissions</w:t>
      </w:r>
      <w:r>
        <w:t xml:space="preserve"> </w:t>
      </w:r>
      <w:r>
        <w:t xml:space="preserve">across the product\'s lifecycle, categorized into Scope 1, Scope 2, and Scope 3 emissions.</w:t>
      </w:r>
    </w:p>
    <w:bookmarkStart w:id="22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PCF analysis is defined as</w:t>
      </w:r>
      <w:r>
        <w:t xml:space="preserve"> </w:t>
      </w:r>
      <w:r>
        <w:rPr>
          <w:bCs/>
          <w:b/>
        </w:rPr>
        <w:t xml:space="preserve">1.0 unit of ptjdejkquo</w:t>
      </w:r>
      <w:r>
        <w:t xml:space="preserve">. This serves as the reference</w:t>
      </w:r>
      <w:r>
        <w:t xml:space="preserve"> </w:t>
      </w:r>
      <w:r>
        <w:t xml:space="preserve">basis to which all input and output data are normalized, ensuring consistency and comparability of the results.</w:t>
      </w:r>
    </w:p>
    <w:bookmarkEnd w:id="22"/>
    <w:bookmarkStart w:id="23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The system boundary for this analysis is set at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. This encompasses all upstream activities</w:t>
      </w:r>
      <w:r>
        <w:t xml:space="preserve"> </w:t>
      </w:r>
      <w:r>
        <w:t xml:space="preserve">related to raw material extraction, processing, manufacturing, and inbound transportation up to the point where</w:t>
      </w:r>
      <w:r>
        <w:t xml:space="preserve"> </w:t>
      </w:r>
      <w:r>
        <w:t xml:space="preserve">the finished product leaves the manufacturing facility. It also includes emissions from the manufacturing process</w:t>
      </w:r>
      <w:r>
        <w:t xml:space="preserve"> </w:t>
      </w:r>
      <w:r>
        <w:t xml:space="preserve">itself. For comprehensive reporting as per GHG Protocol, relevant downstream emissions (use phase and end-of-life)</w:t>
      </w:r>
      <w:r>
        <w:t xml:space="preserve"> </w:t>
      </w:r>
      <w:r>
        <w:t xml:space="preserve">are also quantified under Scope 3, even if the primary boundary is factory_gate for operational control.</w:t>
      </w:r>
    </w:p>
    <w:bookmarkEnd w:id="23"/>
    <w:bookmarkStart w:id="24" w:name="geographic-scope"/>
    <w:p>
      <w:pPr>
        <w:pStyle w:val="Heading3"/>
      </w:pPr>
      <w:r>
        <w:t xml:space="preserve">1.3 Geographic Scope</w:t>
      </w:r>
    </w:p>
    <w:p>
      <w:pPr>
        <w:pStyle w:val="FirstParagraph"/>
      </w:pPr>
      <w:r>
        <w:t xml:space="preserve">The geographic scope of the final production country is</w:t>
      </w:r>
      <w:r>
        <w:t xml:space="preserve"> </w:t>
      </w:r>
      <w:r>
        <w:rPr>
          <w:bCs/>
          <w:b/>
        </w:rPr>
        <w:t xml:space="preserve">China</w:t>
      </w:r>
      <w:r>
        <w:t xml:space="preserve">, with a supply chain focus primarily on</w:t>
      </w:r>
      <w:r>
        <w:t xml:space="preserve"> </w:t>
      </w:r>
      <w:r>
        <w:rPr>
          <w:bCs/>
          <w:b/>
        </w:rPr>
        <w:t xml:space="preserve">Europe</w:t>
      </w:r>
      <w:r>
        <w:t xml:space="preserve">.</w:t>
      </w:r>
      <w:r>
        <w:t xml:space="preserve"> </w:t>
      </w:r>
      <w:r>
        <w:t xml:space="preserve">This implies that regional specific emission factors are applied where available and relevant, particularly for</w:t>
      </w:r>
      <w:r>
        <w:t xml:space="preserve"> </w:t>
      </w:r>
      <w:r>
        <w:t xml:space="preserve">energy consumption in manufacturing and transportation distances/modes.</w:t>
      </w:r>
    </w:p>
    <w:bookmarkEnd w:id="24"/>
    <w:bookmarkStart w:id="25" w:name="accounting-standard"/>
    <w:p>
      <w:pPr>
        <w:pStyle w:val="Heading3"/>
      </w:pPr>
      <w:r>
        <w:t xml:space="preserve">1.4 Accounting Standard</w:t>
      </w:r>
    </w:p>
    <w:p>
      <w:pPr>
        <w:pStyle w:val="FirstParagraph"/>
      </w:pPr>
      <w:r>
        <w:t xml:space="preserve">This Product Carbon Footprint analysis is conducted in strict accordance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standards.</w:t>
      </w:r>
      <w:r>
        <w:t xml:space="preserve"> </w:t>
      </w:r>
      <w:r>
        <w:t xml:space="preserve">Specifically, the Corporate Value Chain (Scope 3) Accounting and Reporting Standard, alongside the Corporate Standard</w:t>
      </w:r>
      <w:r>
        <w:t xml:space="preserve"> </w:t>
      </w:r>
      <w:r>
        <w:t xml:space="preserve">for Scope 1 and Scope 2 emissions, guides the methodology.</w:t>
      </w:r>
    </w:p>
    <w:bookmarkEnd w:id="25"/>
    <w:bookmarkStart w:id="26" w:name="allocation"/>
    <w:p>
      <w:pPr>
        <w:pStyle w:val="Heading3"/>
      </w:pPr>
      <w:r>
        <w:t xml:space="preserve">1.5 Allocation</w:t>
      </w:r>
    </w:p>
    <w:p>
      <w:pPr>
        <w:pStyle w:val="FirstParagraph"/>
      </w:pPr>
      <w:r>
        <w:t xml:space="preserve">Emissions are allocated directly to the functional unit (1.0 unit of ptjdejkquo) based on mass, energy consumption,</w:t>
      </w:r>
      <w:r>
        <w:t xml:space="preserve"> </w:t>
      </w:r>
      <w:r>
        <w:t xml:space="preserve">and direct material contribution. For shared processes or infrastructure, emissions are allocated proportionally</w:t>
      </w:r>
      <w:r>
        <w:t xml:space="preserve"> </w:t>
      </w:r>
      <w:r>
        <w:t xml:space="preserve">based on relevant physical relationships where possible.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lifecycle-mapping-lci-inventory-stages"/>
    <w:p>
      <w:pPr>
        <w:pStyle w:val="Heading2"/>
      </w:pPr>
      <w:r>
        <w:t xml:space="preserve">2. Lifecycle Mapping (LCI Inventory Stages)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ptjdejkquo</w:t>
      </w:r>
      <w:r>
        <w:t xml:space="preserve"> </w:t>
      </w:r>
      <w:r>
        <w:t xml:space="preserve">has been mapped into the following stages to systematically collect inventory data: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Raw Material Acquisition &amp; Pre-processing:</w:t>
      </w:r>
      <w:r>
        <w:t xml:space="preserve"> </w:t>
      </w:r>
      <w:r>
        <w:t xml:space="preserve">Extraction and initial processing of all materials</w:t>
      </w:r>
      <w:r>
        <w:t xml:space="preserve"> </w:t>
      </w:r>
      <w:r>
        <w:t xml:space="preserve">listed in the Bill of Materials (BOM), including any pre-manufacturing steps.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Phase:</w:t>
      </w:r>
      <w:r>
        <w:t xml:space="preserve"> </w:t>
      </w:r>
      <w:r>
        <w:t xml:space="preserve">All processes occurring at the</w:t>
      </w:r>
      <w:r>
        <w:t xml:space="preserve"> </w:t>
      </w:r>
      <w:r>
        <w:rPr>
          <w:bCs/>
          <w:b/>
        </w:rPr>
        <w:t xml:space="preserve">njmtzjnqgw</w:t>
      </w:r>
      <w:r>
        <w:t xml:space="preserve"> </w:t>
      </w:r>
      <w:r>
        <w:t xml:space="preserve">production facility in China,</w:t>
      </w:r>
      <w:r>
        <w:t xml:space="preserve"> </w:t>
      </w:r>
      <w:r>
        <w:t xml:space="preserve">including energy consumption, waste generation, and direct process emissions.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Transportation (Upstream):</w:t>
      </w:r>
      <w:r>
        <w:t xml:space="preserve"> </w:t>
      </w:r>
      <w:r>
        <w:t xml:space="preserve">Inbound logistics of raw materials and components from suppliers (Europe Focused)</w:t>
      </w:r>
      <w:r>
        <w:t xml:space="preserve"> </w:t>
      </w:r>
      <w:r>
        <w:t xml:space="preserve">to the manufacturing facility in China.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Transportation (Downstream - Outbound &amp; Last-Mile):</w:t>
      </w:r>
      <w:r>
        <w:t xml:space="preserve"> </w:t>
      </w:r>
      <w:r>
        <w:t xml:space="preserve">Distribution of the finished product from the factory gate</w:t>
      </w:r>
      <w:r>
        <w:t xml:space="preserve"> </w:t>
      </w:r>
      <w:r>
        <w:t xml:space="preserve">to the end-customer.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and any direct emissions associated with the product during its expected</w:t>
      </w:r>
      <w:r>
        <w:t xml:space="preserve"> </w:t>
      </w:r>
      <w:r>
        <w:rPr>
          <w:bCs/>
          <w:b/>
        </w:rPr>
        <w:t xml:space="preserve">Product Lifespan (yhesxwmplv)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End-of-Life (EoL):</w:t>
      </w:r>
      <w:r>
        <w:t xml:space="preserve"> </w:t>
      </w:r>
      <w:r>
        <w:t xml:space="preserve">Emissions and credits related to the disposal, recycling, or recovery of the product</w:t>
      </w:r>
      <w:r>
        <w:t xml:space="preserve"> </w:t>
      </w:r>
      <w:r>
        <w:t xml:space="preserve">at the end of its useful life, considering</w:t>
      </w:r>
      <w:r>
        <w:t xml:space="preserve"> </w:t>
      </w:r>
      <w:r>
        <w:rPr>
          <w:bCs/>
          <w:b/>
        </w:rPr>
        <w:t xml:space="preserve">Recyclability Percentage (yfwhlzdmmu)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Circular/Take-back Programs (hjszxxoenv)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8"/>
    <w:bookmarkStart w:id="34" w:name="X7b6d01ce7b6bfe45f00681616505557cddf238f"/>
    <w:p>
      <w:pPr>
        <w:pStyle w:val="Heading2"/>
      </w:pPr>
      <w:r>
        <w:t xml:space="preserve">3. Data Collection (Primary/Secondary Data Points)</w:t>
      </w:r>
    </w:p>
    <w:p>
      <w:pPr>
        <w:pStyle w:val="FirstParagraph"/>
      </w:pPr>
      <w:r>
        <w:t xml:space="preserve">Data for the PCF analysis were collected from various sources, prioritizing primary data where available and</w:t>
      </w:r>
      <w:r>
        <w:t xml:space="preserve"> </w:t>
      </w:r>
      <w:r>
        <w:t xml:space="preserve">supplementing with high-quality secondary (industry-average) data for completeness, adhering to the 95% Scope 3 coverage target.</w:t>
      </w:r>
    </w:p>
    <w:bookmarkStart w:id="29" w:name="detailed-bill-of-materials-bom-trmwsmzu"/>
    <w:p>
      <w:pPr>
        <w:pStyle w:val="Heading3"/>
      </w:pPr>
      <w:r>
        <w:t xml:space="preserve">3.1 Detailed Bill of Materials (BOM): trmwsmzu</w:t>
      </w:r>
    </w:p>
    <w:p>
      <w:pPr>
        <w:pStyle w:val="FirstParagraph"/>
      </w:pPr>
      <w:r>
        <w:t xml:space="preserve">The provided Detailed Bill of Materials (BOM) was critical for calculating the material-related emissions.</w:t>
      </w:r>
      <w:r>
        <w:t xml:space="preserve"> </w:t>
      </w:r>
      <w:r>
        <w:t xml:space="preserve">Each item\'s material type, quantity, and associated emission factor were utilized for high-accuracy material impact calculation.</w:t>
      </w:r>
      <w:r>
        <w:t xml:space="preserve"> </w:t>
      </w:r>
      <w:r>
        <w:t xml:space="preserve">The BOM data, including its pre-calculated Total Carbon, is presented below.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Mass of Product:</w:t>
      </w:r>
      <w:r>
        <w:t xml:space="preserve"> </w:t>
      </w:r>
      <w:r>
        <w:t xml:space="preserve">0.5 kg + 0.2 kg + 0.1 kg = 0.8 kg.</w:t>
      </w:r>
    </w:p>
    <w:bookmarkEnd w:id="29"/>
    <w:bookmarkStart w:id="30" w:name="energy-inputs-production-phase"/>
    <w:p>
      <w:pPr>
        <w:pStyle w:val="Heading3"/>
      </w:pPr>
      <w:r>
        <w:t xml:space="preserve">3.2 Energy Inputs (Production Phase)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 (nknyzjdojm):</w:t>
      </w:r>
      <w:r>
        <w:t xml:space="preserve"> </w:t>
      </w:r>
      <w:r>
        <w:t xml:space="preserve">75% renewable electricity.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 (rwxtwkidhr):</w:t>
      </w:r>
      <w:r>
        <w:t xml:space="preserve"> </w:t>
      </w:r>
      <w:r>
        <w:t xml:space="preserve">0.8 kWh/unit.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Grid Emission Factor (China):</w:t>
      </w:r>
      <w:r>
        <w:t xml:space="preserve"> </w:t>
      </w:r>
      <w:r>
        <w:t xml:space="preserve">An average of 0.60 kg CO2e/kWh is used for the non-renewable portion of electricity consumed, based on typical Chinese grid mixes.</w:t>
      </w:r>
    </w:p>
    <w:bookmarkEnd w:id="30"/>
    <w:bookmarkStart w:id="31" w:name="logistics-data"/>
    <w:p>
      <w:pPr>
        <w:pStyle w:val="Heading3"/>
      </w:pPr>
      <w:r>
        <w:t xml:space="preserve">3.3 Logistics Data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Transport Mode:</w:t>
      </w:r>
      <w:r>
        <w:t xml:space="preserve"> </w:t>
      </w:r>
      <w:r>
        <w:t xml:space="preserve">Ocean Freight (Container Vessel) from Europe to China.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Transport Distance (tykrjrqgxr):</w:t>
      </w:r>
      <w:r>
        <w:t xml:space="preserve"> </w:t>
      </w:r>
      <w:r>
        <w:t xml:space="preserve">15,000 km.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 (Delivery Type):</w:t>
      </w:r>
      <w:r>
        <w:t xml:space="preserve"> </w:t>
      </w:r>
      <w:r>
        <w:t xml:space="preserve">Road Transport (Heavy-Duty Truck) via Parcel Service.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Transport Distance (tykrjrqgxr):</w:t>
      </w:r>
      <w:r>
        <w:t xml:space="preserve"> </w:t>
      </w:r>
      <w:r>
        <w:t xml:space="preserve">500 km.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 Factor for Ocean Freight (Container):</w:t>
      </w:r>
      <w:r>
        <w:t xml:space="preserve"> </w:t>
      </w:r>
      <w:r>
        <w:t xml:space="preserve">0.00826 kg CO2e/tonne-km.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 Factor for Road Transport (Heavy-Duty Truck):</w:t>
      </w:r>
      <w:r>
        <w:t xml:space="preserve"> </w:t>
      </w:r>
      <w:r>
        <w:t xml:space="preserve">0.07392 kg CO2e/tonne-km.</w:t>
      </w:r>
    </w:p>
    <w:bookmarkEnd w:id="31"/>
    <w:bookmarkStart w:id="32" w:name="use-phase-data"/>
    <w:p>
      <w:pPr>
        <w:pStyle w:val="Heading3"/>
      </w:pPr>
      <w:r>
        <w:t xml:space="preserve">3.4 Use Phase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 (yhesxwmplv):</w:t>
      </w:r>
      <w:r>
        <w:t xml:space="preserve"> </w:t>
      </w:r>
      <w:r>
        <w:t xml:space="preserve">5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 (mpsppjyfds):</w:t>
      </w:r>
      <w:r>
        <w:t xml:space="preserve"> </w:t>
      </w:r>
      <w:r>
        <w:t xml:space="preserve">20 kWh/year.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Illustrative Grid Mix Emission Factor (Use Phase):</w:t>
      </w:r>
      <w:r>
        <w:t xml:space="preserve"> </w:t>
      </w:r>
      <w:r>
        <w:t xml:space="preserve">0.4 kg CO2e/kWh (representing a general average for electricity consumed by the end-user).</w:t>
      </w:r>
    </w:p>
    <w:bookmarkEnd w:id="32"/>
    <w:bookmarkStart w:id="33" w:name="end-of-life-eol-scenarios"/>
    <w:p>
      <w:pPr>
        <w:pStyle w:val="Heading3"/>
      </w:pPr>
      <w:r>
        <w:t xml:space="preserve">3.5 End-of-Life (EoL) Scenarios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 (yfwhlzdmmu):</w:t>
      </w:r>
      <w:r>
        <w:t xml:space="preserve"> </w:t>
      </w:r>
      <w:r>
        <w:t xml:space="preserve">60%.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 (hjszxxoenv):</w:t>
      </w:r>
      <w:r>
        <w:t xml:space="preserve"> </w:t>
      </w:r>
      <w:r>
        <w:t xml:space="preserve">Product take-back and recycling program available.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Illustrative Recycling Credit:</w:t>
      </w:r>
      <w:r>
        <w:t xml:space="preserve"> </w:t>
      </w:r>
      <w:r>
        <w:t xml:space="preserve">-1.5 kg CO2e/kg (average for mixed recycled materials).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Illustrative Disposal Emission:</w:t>
      </w:r>
      <w:r>
        <w:t xml:space="preserve"> </w:t>
      </w:r>
      <w:r>
        <w:t xml:space="preserve">0.1 kg CO2e/kg (for landfill).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5" w:name="X439a6e6dcb43c636bf515ffaf3f59bce0bd6490"/>
    <w:p>
      <w:pPr>
        <w:pStyle w:val="Heading2"/>
      </w:pPr>
      <w:r>
        <w:t xml:space="preserve">4. Emission Calculation (Activity * Emission Factor = CO2e)</w:t>
      </w:r>
    </w:p>
    <w:p>
      <w:pPr>
        <w:pStyle w:val="FirstParagraph"/>
      </w:pPr>
      <w:r>
        <w:t xml:space="preserve">Emissions were calculated for each lifecycle stage and categorized according to the GHG Protocol\'s Scope 1, Scope 2, and Scope 3 framework. Industry-standard emission factors, such as those from Ecoinvent, DEFRA, and recognized GHG Protocol guidance documents, were applied.</w:t>
      </w:r>
    </w:p>
    <w:bookmarkStart w:id="35" w:name="scope-1-emissions-direct-emissions"/>
    <w:p>
      <w:pPr>
        <w:pStyle w:val="Heading3"/>
      </w:pPr>
      <w:r>
        <w:t xml:space="preserve">4.1 Scope 1 Emissions (Direct Emissions)</w:t>
      </w:r>
    </w:p>
    <w:p>
      <w:pPr>
        <w:pStyle w:val="FirstParagraph"/>
      </w:pPr>
      <w:r>
        <w:t xml:space="preserve">Scope 1 emissions pertain to direct GHG emissions from sources owned or controlled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. Given the \'factory_gate\' system boundary and the nature of product assembly operations, direct emissions from on-site fuel combustion, chemical processes, or fugitive emissions are considered negligible for this product-level PCF analysis, unless specifically identified for the product manufacturing process.</w:t>
      </w:r>
    </w:p>
    <w:p>
      <w:pPr>
        <w:pStyle w:val="BodyText"/>
      </w:pPr>
      <w:r>
        <w:rPr>
          <w:bCs/>
          <w:b/>
        </w:rPr>
        <w:t xml:space="preserve">Total Scope 1 Emissions: 0.00 kg CO2e/unit</w:t>
      </w:r>
    </w:p>
    <w:bookmarkEnd w:id="35"/>
    <w:bookmarkStart w:id="36" w:name="scope-2-emissions-purchased-energy"/>
    <w:p>
      <w:pPr>
        <w:pStyle w:val="Heading3"/>
      </w:pPr>
      <w:r>
        <w:t xml:space="preserve">4.2 Scope 2 Emissions (Purchased Energy)</w:t>
      </w:r>
    </w:p>
    <w:p>
      <w:pPr>
        <w:pStyle w:val="FirstParagraph"/>
      </w:pPr>
      <w:r>
        <w:t xml:space="preserve">Scope 2 emissions account for indirect GHG emissions from the generation of purchased electricity consumed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\'s manufacturing facility.</w:t>
      </w:r>
    </w:p>
    <w:p>
      <w:pPr>
        <w:numPr>
          <w:ilvl w:val="0"/>
          <w:numId w:val="1006"/>
        </w:numPr>
        <w:pStyle w:val="Compact"/>
      </w:pPr>
      <w:r>
        <w:t xml:space="preserve">Total Energy Intensity: 0.8 kWh/unit [cite: parameter `rwxtwkidhr`]</w:t>
      </w:r>
    </w:p>
    <w:p>
      <w:pPr>
        <w:numPr>
          <w:ilvl w:val="0"/>
          <w:numId w:val="1006"/>
        </w:numPr>
        <w:pStyle w:val="Compact"/>
      </w:pPr>
      <w:r>
        <w:t xml:space="preserve">Renewable Energy Usage: 75% [cite: parameter `nknyzjdojm`]</w:t>
      </w:r>
    </w:p>
    <w:p>
      <w:pPr>
        <w:numPr>
          <w:ilvl w:val="0"/>
          <w:numId w:val="1006"/>
        </w:numPr>
        <w:pStyle w:val="Compact"/>
      </w:pPr>
      <w:r>
        <w:t xml:space="preserve">Non-renewable Energy: 0.8 kWh/unit * (1 - 0.75) = 0.2 kWh/unit</w:t>
      </w:r>
    </w:p>
    <w:p>
      <w:pPr>
        <w:numPr>
          <w:ilvl w:val="0"/>
          <w:numId w:val="1006"/>
        </w:numPr>
        <w:pStyle w:val="Compact"/>
      </w:pPr>
      <w:r>
        <w:t xml:space="preserve">China Grid Emission Factor (non-renewable portion): 0.60 kg CO2e/kWh</w:t>
      </w:r>
    </w:p>
    <w:p>
      <w:pPr>
        <w:numPr>
          <w:ilvl w:val="0"/>
          <w:numId w:val="1006"/>
        </w:numPr>
        <w:pStyle w:val="Compact"/>
      </w:pPr>
      <w:r>
        <w:t xml:space="preserve">Emissions from Purchased Electricity = 0.2 kWh/unit * 0.60 kg CO2e/kWh = 0.12 kg CO2e/unit</w:t>
      </w:r>
    </w:p>
    <w:p>
      <w:pPr>
        <w:pStyle w:val="FirstParagraph"/>
      </w:pPr>
      <w:r>
        <w:rPr>
          <w:bCs/>
          <w:b/>
        </w:rPr>
        <w:t xml:space="preserve">Total Scope 2 Emissions: 0.12 kg CO2e/unit</w:t>
      </w:r>
    </w:p>
    <w:bookmarkEnd w:id="36"/>
    <w:bookmarkStart w:id="42" w:name="scope-3-emissions-value-chain-emissions"/>
    <w:p>
      <w:pPr>
        <w:pStyle w:val="Heading3"/>
      </w:pPr>
      <w:r>
        <w:t xml:space="preserve">4.3 Scope 3 Emissions (Value Chain Emissions)</w:t>
      </w:r>
    </w:p>
    <w:p>
      <w:pPr>
        <w:pStyle w:val="FirstParagraph"/>
      </w:pPr>
      <w:r>
        <w:t xml:space="preserve">Scope 3 emissions encompass all other indirect emissions that occur in the value chain of</w:t>
      </w:r>
      <w:r>
        <w:t xml:space="preserve"> </w:t>
      </w:r>
      <w:r>
        <w:rPr>
          <w:bCs/>
          <w:b/>
        </w:rPr>
        <w:t xml:space="preserve">njmtzjnqgw</w:t>
      </w:r>
      <w:r>
        <w:t xml:space="preserve">,</w:t>
      </w:r>
      <w:r>
        <w:t xml:space="preserve"> </w:t>
      </w:r>
      <w:r>
        <w:t xml:space="preserve">both upstream and downstream. This category represents the majority of the product\'s carbon footprint.</w:t>
      </w:r>
      <w:r>
        <w:t xml:space="preserve"> </w:t>
      </w:r>
      <w:r>
        <w:t xml:space="preserve">Efforts have been made to ensure at least 95% coverage for Scope 3 reporting, as per 2026 requirements,</w:t>
      </w:r>
      <w:r>
        <w:t xml:space="preserve"> </w:t>
      </w:r>
      <w:r>
        <w:t xml:space="preserve">by meticulously incorporating detailed BOM and logistics data.</w:t>
      </w:r>
    </w:p>
    <w:bookmarkStart w:id="37" w:name="Xab9729a0caae076ca89f2f71668734f92723cf2"/>
    <w:p>
      <w:pPr>
        <w:pStyle w:val="Heading4"/>
      </w:pPr>
      <w:r>
        <w:t xml:space="preserve">4.3.1 Category 1: Purchased Goods and Services (Materials)</w:t>
      </w:r>
    </w:p>
    <w:p>
      <w:pPr>
        <w:pStyle w:val="FirstParagraph"/>
      </w:pPr>
      <w:r>
        <w:t xml:space="preserve">This category includes upstream emissions from the extraction, production, and transportation of raw materials and components purchased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.</w:t>
      </w:r>
      <w:r>
        <w:t xml:space="preserve"> </w:t>
      </w:r>
      <w:r>
        <w:t xml:space="preserve">Based on the Detailed Bill of Materials (trmwsmzu):</w:t>
      </w:r>
    </w:p>
    <w:p>
      <w:pPr>
        <w:numPr>
          <w:ilvl w:val="0"/>
          <w:numId w:val="1007"/>
        </w:numPr>
        <w:pStyle w:val="Compact"/>
      </w:pPr>
      <w:r>
        <w:t xml:space="preserve">Aluminum Casing: 3.35 kg CO2e</w:t>
      </w:r>
    </w:p>
    <w:p>
      <w:pPr>
        <w:numPr>
          <w:ilvl w:val="0"/>
          <w:numId w:val="1007"/>
        </w:numPr>
        <w:pStyle w:val="Compact"/>
      </w:pPr>
      <w:r>
        <w:t xml:space="preserve">Plastic Components: 0.62 kg CO2e</w:t>
      </w:r>
    </w:p>
    <w:p>
      <w:pPr>
        <w:numPr>
          <w:ilvl w:val="0"/>
          <w:numId w:val="1007"/>
        </w:numPr>
        <w:pStyle w:val="Compact"/>
      </w:pPr>
      <w:r>
        <w:t xml:space="preserve">Circuit Board Assembly: 1.50 kg CO2e</w:t>
      </w:r>
    </w:p>
    <w:p>
      <w:pPr>
        <w:pStyle w:val="FirstParagraph"/>
      </w:pPr>
      <w:r>
        <w:rPr>
          <w:bCs/>
          <w:b/>
        </w:rPr>
        <w:t xml:space="preserve">Total Scope 3, Category 1 Emissions: 3.35 + 0.62 + 1.50 = 5.47 kg CO2e/unit</w:t>
      </w:r>
    </w:p>
    <w:bookmarkEnd w:id="37"/>
    <w:bookmarkStart w:id="38" w:name="X6669a43143349c25ec93e775eebde43de53a73c"/>
    <w:p>
      <w:pPr>
        <w:pStyle w:val="Heading4"/>
      </w:pPr>
      <w:r>
        <w:t xml:space="preserve">4.3.2 Category 4: Upstream Transportation and Distribution</w:t>
      </w:r>
    </w:p>
    <w:p>
      <w:pPr>
        <w:pStyle w:val="FirstParagraph"/>
      </w:pPr>
      <w:r>
        <w:t xml:space="preserve">This includes emissions from the transportation of purchased materials and components from Tier 1 suppliers to</w:t>
      </w:r>
      <w:r>
        <w:t xml:space="preserve"> </w:t>
      </w:r>
      <w:r>
        <w:rPr>
          <w:bCs/>
          <w:b/>
        </w:rPr>
        <w:t xml:space="preserve">njmtzjnqgw</w:t>
      </w:r>
      <w:r>
        <w:t xml:space="preserve">\'s operations.</w:t>
      </w:r>
    </w:p>
    <w:p>
      <w:pPr>
        <w:numPr>
          <w:ilvl w:val="0"/>
          <w:numId w:val="1008"/>
        </w:numPr>
        <w:pStyle w:val="Compact"/>
      </w:pPr>
      <w:r>
        <w:t xml:space="preserve">Product Mass: 0.8 kg = 0.0008 tonne</w:t>
      </w:r>
    </w:p>
    <w:p>
      <w:pPr>
        <w:numPr>
          <w:ilvl w:val="0"/>
          <w:numId w:val="1008"/>
        </w:numPr>
        <w:pStyle w:val="Compact"/>
      </w:pPr>
      <w:r>
        <w:t xml:space="preserve">Upstream Transport (Ocean Freight):</w:t>
      </w:r>
    </w:p>
    <w:p>
      <w:pPr>
        <w:numPr>
          <w:ilvl w:val="1"/>
          <w:numId w:val="1009"/>
        </w:numPr>
        <w:pStyle w:val="Compact"/>
      </w:pPr>
      <w:r>
        <w:t xml:space="preserve">Distance: 15,000 km [cite: parameter `tykrjrqgxr`]</w:t>
      </w:r>
    </w:p>
    <w:p>
      <w:pPr>
        <w:numPr>
          <w:ilvl w:val="1"/>
          <w:numId w:val="1009"/>
        </w:numPr>
        <w:pStyle w:val="Compact"/>
      </w:pPr>
      <w:r>
        <w:t xml:space="preserve">Emission Factor (Ocean Container): 0.00826 kg CO2e/tonne-km</w:t>
      </w:r>
    </w:p>
    <w:p>
      <w:pPr>
        <w:numPr>
          <w:ilvl w:val="1"/>
          <w:numId w:val="1009"/>
        </w:numPr>
        <w:pStyle w:val="Compact"/>
      </w:pPr>
      <w:r>
        <w:t xml:space="preserve">Emissions = 0.0008 tonne * 15,000 km * 0.00826 kg CO2e/tonne-km = 0.09912 kg CO2e/unit</w:t>
      </w:r>
    </w:p>
    <w:p>
      <w:pPr>
        <w:pStyle w:val="FirstParagraph"/>
      </w:pPr>
      <w:r>
        <w:rPr>
          <w:bCs/>
          <w:b/>
        </w:rPr>
        <w:t xml:space="preserve">Total Scope 3, Category 4 Emissions: 0.099 kg CO2e/unit</w:t>
      </w:r>
    </w:p>
    <w:bookmarkEnd w:id="38"/>
    <w:bookmarkStart w:id="39" w:name="Xe6a609cc71639c4bb5b5bcd247c776c9d89fa33"/>
    <w:p>
      <w:pPr>
        <w:pStyle w:val="Heading4"/>
      </w:pPr>
      <w:r>
        <w:t xml:space="preserve">4.3.3 Category 9: Downstream Transportation and Distribution (Last-Mile Delivery)</w:t>
      </w:r>
    </w:p>
    <w:p>
      <w:pPr>
        <w:pStyle w:val="FirstParagraph"/>
      </w:pPr>
      <w:r>
        <w:t xml:space="preserve">This covers emissions from the transportation and distribution of sold products to end-consumers, not owned or controlled by</w:t>
      </w:r>
      <w:r>
        <w:t xml:space="preserve"> </w:t>
      </w:r>
      <w:r>
        <w:rPr>
          <w:bCs/>
          <w:b/>
        </w:rPr>
        <w:t xml:space="preserve">njmtzjnqgw</w:t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Product Mass: 0.8 kg = 0.0008 tonne</w:t>
      </w:r>
    </w:p>
    <w:p>
      <w:pPr>
        <w:numPr>
          <w:ilvl w:val="0"/>
          <w:numId w:val="1010"/>
        </w:numPr>
        <w:pStyle w:val="Compact"/>
      </w:pPr>
      <w:r>
        <w:t xml:space="preserve">Last-Mile Transport (Road Transport):</w:t>
      </w:r>
    </w:p>
    <w:p>
      <w:pPr>
        <w:numPr>
          <w:ilvl w:val="1"/>
          <w:numId w:val="1011"/>
        </w:numPr>
        <w:pStyle w:val="Compact"/>
      </w:pPr>
      <w:r>
        <w:t xml:space="preserve">Distance: 500 km [cite: parameter `tykrjrqgxr`]</w:t>
      </w:r>
    </w:p>
    <w:p>
      <w:pPr>
        <w:numPr>
          <w:ilvl w:val="1"/>
          <w:numId w:val="1011"/>
        </w:numPr>
        <w:pStyle w:val="Compact"/>
      </w:pPr>
      <w:r>
        <w:t xml:space="preserve">Emission Factor (Heavy-Duty Truck): 0.07392 kg CO2e/tonne-km</w:t>
      </w:r>
    </w:p>
    <w:p>
      <w:pPr>
        <w:numPr>
          <w:ilvl w:val="1"/>
          <w:numId w:val="1011"/>
        </w:numPr>
        <w:pStyle w:val="Compact"/>
      </w:pPr>
      <w:r>
        <w:t xml:space="preserve">Emissions = 0.0008 tonne * 500 km * 0.07392 kg CO2e/tonne-km = 0.029568 kg CO2e/unit</w:t>
      </w:r>
    </w:p>
    <w:p>
      <w:pPr>
        <w:pStyle w:val="FirstParagraph"/>
      </w:pPr>
      <w:r>
        <w:rPr>
          <w:bCs/>
          <w:b/>
        </w:rPr>
        <w:t xml:space="preserve">Total Scope 3, Category 9 Emissions: 0.030 kg CO2e/unit</w:t>
      </w:r>
    </w:p>
    <w:bookmarkEnd w:id="39"/>
    <w:bookmarkStart w:id="40" w:name="category-11-use-of-sold-products"/>
    <w:p>
      <w:pPr>
        <w:pStyle w:val="Heading4"/>
      </w:pPr>
      <w:r>
        <w:t xml:space="preserve">4.3.4 Category 11: Use of Sold Products</w:t>
      </w:r>
    </w:p>
    <w:p>
      <w:pPr>
        <w:pStyle w:val="FirstParagraph"/>
      </w:pPr>
      <w:r>
        <w:t xml:space="preserve">This category includes emissions from the direct use-phase of</w:t>
      </w:r>
      <w:r>
        <w:t xml:space="preserve"> </w:t>
      </w:r>
      <w:r>
        <w:rPr>
          <w:bCs/>
          <w:b/>
        </w:rPr>
        <w:t xml:space="preserve">ptjdejkquo</w:t>
      </w:r>
      <w:r>
        <w:t xml:space="preserve">, which consumes electricity during its lifespan.</w:t>
      </w:r>
    </w:p>
    <w:p>
      <w:pPr>
        <w:numPr>
          <w:ilvl w:val="0"/>
          <w:numId w:val="1012"/>
        </w:numPr>
        <w:pStyle w:val="Compact"/>
      </w:pPr>
      <w:r>
        <w:t xml:space="preserve">Product Lifespan: 5 years [cite: parameter `yhesxwmplv`]</w:t>
      </w:r>
    </w:p>
    <w:p>
      <w:pPr>
        <w:numPr>
          <w:ilvl w:val="0"/>
          <w:numId w:val="1012"/>
        </w:numPr>
        <w:pStyle w:val="Compact"/>
      </w:pPr>
      <w:r>
        <w:t xml:space="preserve">Annual Energy Consumption in Use: 20 kWh/year [cite: parameter `mpsppjyfds`]</w:t>
      </w:r>
    </w:p>
    <w:p>
      <w:pPr>
        <w:numPr>
          <w:ilvl w:val="0"/>
          <w:numId w:val="1012"/>
        </w:numPr>
        <w:pStyle w:val="Compact"/>
      </w:pPr>
      <w:r>
        <w:t xml:space="preserve">Total Lifetime Energy Consumption = 20 kWh/year * 5 years = 100 kWh/unit</w:t>
      </w:r>
    </w:p>
    <w:p>
      <w:pPr>
        <w:numPr>
          <w:ilvl w:val="0"/>
          <w:numId w:val="1012"/>
        </w:numPr>
        <w:pStyle w:val="Compact"/>
      </w:pPr>
      <w:r>
        <w:t xml:space="preserve">Illustrative Grid Mix Emission Factor (Use Phase): 0.4 kg CO2e/kWh</w:t>
      </w:r>
    </w:p>
    <w:p>
      <w:pPr>
        <w:numPr>
          <w:ilvl w:val="0"/>
          <w:numId w:val="1012"/>
        </w:numPr>
        <w:pStyle w:val="Compact"/>
      </w:pPr>
      <w:r>
        <w:t xml:space="preserve">Emissions = 100 kWh/unit * 0.4 kg CO2e/kWh = 40.00 kg CO2e/unit</w:t>
      </w:r>
    </w:p>
    <w:p>
      <w:pPr>
        <w:pStyle w:val="FirstParagraph"/>
      </w:pPr>
      <w:r>
        <w:rPr>
          <w:bCs/>
          <w:b/>
        </w:rPr>
        <w:t xml:space="preserve">Total Scope 3, Category 11 Emissions: 40.00 kg CO2e/unit</w:t>
      </w:r>
    </w:p>
    <w:bookmarkEnd w:id="40"/>
    <w:bookmarkStart w:id="41" w:name="X9f66eef2700632e081dfe139021cb724ffcd2c5"/>
    <w:p>
      <w:pPr>
        <w:pStyle w:val="Heading4"/>
      </w:pPr>
      <w:r>
        <w:t xml:space="preserve">4.3.5 Category 12: End-of-Life Treatment of Sold Products</w:t>
      </w:r>
    </w:p>
    <w:p>
      <w:pPr>
        <w:pStyle w:val="FirstParagraph"/>
      </w:pPr>
      <w:r>
        <w:t xml:space="preserve">This category accounts for emissions and potential credits associated with the disposal and treatment of</w:t>
      </w:r>
      <w:r>
        <w:t xml:space="preserve"> </w:t>
      </w:r>
      <w:r>
        <w:rPr>
          <w:bCs/>
          <w:b/>
        </w:rPr>
        <w:t xml:space="preserve">ptjdejkquo</w:t>
      </w:r>
      <w:r>
        <w:t xml:space="preserve"> </w:t>
      </w:r>
      <w:r>
        <w:t xml:space="preserve">at the end of its life.</w:t>
      </w:r>
    </w:p>
    <w:p>
      <w:pPr>
        <w:numPr>
          <w:ilvl w:val="0"/>
          <w:numId w:val="1013"/>
        </w:numPr>
        <w:pStyle w:val="Compact"/>
      </w:pPr>
      <w:r>
        <w:t xml:space="preserve">Total Product Mass: 0.8 kg</w:t>
      </w:r>
    </w:p>
    <w:p>
      <w:pPr>
        <w:numPr>
          <w:ilvl w:val="0"/>
          <w:numId w:val="1013"/>
        </w:numPr>
        <w:pStyle w:val="Compact"/>
      </w:pPr>
      <w:r>
        <w:t xml:space="preserve">Recyclability Percentage (yfwhlzdmmu): 60%</w:t>
      </w:r>
    </w:p>
    <w:p>
      <w:pPr>
        <w:numPr>
          <w:ilvl w:val="0"/>
          <w:numId w:val="1013"/>
        </w:numPr>
        <w:pStyle w:val="Compact"/>
      </w:pPr>
      <w:r>
        <w:t xml:space="preserve">Mass Recycled: 0.8 kg * 0.60 = 0.48 kg</w:t>
      </w:r>
    </w:p>
    <w:p>
      <w:pPr>
        <w:numPr>
          <w:ilvl w:val="0"/>
          <w:numId w:val="1013"/>
        </w:numPr>
        <w:pStyle w:val="Compact"/>
      </w:pPr>
      <w:r>
        <w:t xml:space="preserve">Mass Disposed: 0.8 kg * (1 - 0.60) = 0.32 kg</w:t>
      </w:r>
    </w:p>
    <w:p>
      <w:pPr>
        <w:numPr>
          <w:ilvl w:val="0"/>
          <w:numId w:val="1013"/>
        </w:numPr>
        <w:pStyle w:val="Compact"/>
      </w:pPr>
      <w:r>
        <w:t xml:space="preserve">Illustrative Recycling Credit: -1.5 kg CO2e/kg</w:t>
      </w:r>
    </w:p>
    <w:p>
      <w:pPr>
        <w:numPr>
          <w:ilvl w:val="0"/>
          <w:numId w:val="1013"/>
        </w:numPr>
        <w:pStyle w:val="Compact"/>
      </w:pPr>
      <w:r>
        <w:t xml:space="preserve">Illustrative Disposal Emission: 0.1 kg CO2e/kg</w:t>
      </w:r>
    </w:p>
    <w:p>
      <w:pPr>
        <w:numPr>
          <w:ilvl w:val="0"/>
          <w:numId w:val="1013"/>
        </w:numPr>
        <w:pStyle w:val="Compact"/>
      </w:pPr>
      <w:r>
        <w:t xml:space="preserve">Recycling Credit = 0.48 kg * (-1.5 kg CO2e/kg) = -0.72 kg CO2e/unit</w:t>
      </w:r>
    </w:p>
    <w:p>
      <w:pPr>
        <w:numPr>
          <w:ilvl w:val="0"/>
          <w:numId w:val="1013"/>
        </w:numPr>
        <w:pStyle w:val="Compact"/>
      </w:pPr>
      <w:r>
        <w:t xml:space="preserve">Disposal Emissions = 0.32 kg * 0.1 kg CO2e/kg = 0.032 kg CO2e/unit</w:t>
      </w:r>
    </w:p>
    <w:p>
      <w:pPr>
        <w:pStyle w:val="FirstParagraph"/>
      </w:pPr>
      <w:r>
        <w:rPr>
          <w:bCs/>
          <w:b/>
        </w:rPr>
        <w:t xml:space="preserve">Total Scope 3, Category 12 Emissions: -0.72 + 0.032 = -0.688 kg CO2e/unit</w:t>
      </w:r>
    </w:p>
    <w:p>
      <w:pPr>
        <w:pStyle w:val="BodyText"/>
      </w:pPr>
      <w:r>
        <w:t xml:space="preserve">The availability of</w:t>
      </w:r>
      <w:r>
        <w:t xml:space="preserve"> </w:t>
      </w:r>
      <w:r>
        <w:rPr>
          <w:bCs/>
          <w:b/>
        </w:rPr>
        <w:t xml:space="preserve">Circular/Take-back Programs (hjszxxoenv)</w:t>
      </w:r>
      <w:r>
        <w:t xml:space="preserve"> </w:t>
      </w:r>
      <w:r>
        <w:t xml:space="preserve">further supports the reduction of end-of-life impacts</w:t>
      </w:r>
      <w:r>
        <w:t xml:space="preserve"> </w:t>
      </w:r>
      <w:r>
        <w:t xml:space="preserve">by facilitating higher recycling rates and minimizing waste sent to landfills.</w:t>
      </w:r>
    </w:p>
    <w:bookmarkEnd w:id="41"/>
    <w:bookmarkEnd w:id="42"/>
    <w:bookmarkStart w:id="43" w:name="summary-of-calculated-emissions"/>
    <w:p>
      <w:pPr>
        <w:pStyle w:val="Heading3"/>
      </w:pPr>
      <w:r>
        <w:t xml:space="preserve">4.4 Summary of Calculated Emissions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Scope/Category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from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for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Goods and Services (Materials)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5.47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Downstream Transportation and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3, 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 of Sold Products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-0.688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45.03</w:t>
            </w:r>
          </w:p>
        </w:tc>
      </w:tr>
    </w:tbl>
    <w:bookmarkEnd w:id="43"/>
    <w:bookmarkStart w:id="44" w:name="X7ef73fe3d39a8d84fae696b42f814aa0d860ec0"/>
    <w:p>
      <w:pPr>
        <w:pStyle w:val="Heading3"/>
      </w:pPr>
      <w:r>
        <w:t xml:space="preserve">4.5 2026 LSR Update (Land Sector and Removals Standard)</w:t>
      </w:r>
    </w:p>
    <w:p>
      <w:pPr>
        <w:pStyle w:val="FirstParagraph"/>
      </w:pPr>
      <w:r>
        <w:t xml:space="preserve">As part of the 2026 update, the Land Sector and Removals (LSR) Standard would be applied to account for</w:t>
      </w:r>
      <w:r>
        <w:t xml:space="preserve"> </w:t>
      </w:r>
      <w:r>
        <w:t xml:space="preserve">land use change emissions and carbon removals. While specific data for LSR is not provided in the parameters,</w:t>
      </w:r>
      <w:r>
        <w:t xml:space="preserve"> </w:t>
      </w:r>
      <w:r>
        <w:t xml:space="preserve">its inclusion would involve assessing impacts from any bio-based materials (e.g., if wood or agricultural products were used)</w:t>
      </w:r>
      <w:r>
        <w:t xml:space="preserve"> </w:t>
      </w:r>
      <w:r>
        <w:t xml:space="preserve">and any carbon sequestration or release associated with land management practices throughout the supply chain.</w:t>
      </w:r>
      <w:r>
        <w:t xml:space="preserve"> </w:t>
      </w:r>
      <w:r>
        <w:t xml:space="preserve">This ensures a more holistic view of the product\'s impact on natural carbon sinks and sources.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9" w:name="review-report"/>
    <w:p>
      <w:pPr>
        <w:pStyle w:val="Heading2"/>
      </w:pPr>
      <w:r>
        <w:t xml:space="preserve">5. Review &amp; Report</w:t>
      </w:r>
    </w:p>
    <w:bookmarkStart w:id="46" w:name="emission-hotspots"/>
    <w:p>
      <w:pPr>
        <w:pStyle w:val="Heading3"/>
      </w:pPr>
      <w:r>
        <w:t xml:space="preserve">5.1 Emission Hotspots</w:t>
      </w:r>
    </w:p>
    <w:p>
      <w:pPr>
        <w:pStyle w:val="FirstParagraph"/>
      </w:pPr>
      <w:r>
        <w:t xml:space="preserve">The analysis reveals the following major emission hotspots for</w:t>
      </w:r>
      <w:r>
        <w:t xml:space="preserve"> </w:t>
      </w:r>
      <w:r>
        <w:rPr>
          <w:bCs/>
          <w:b/>
        </w:rPr>
        <w:t xml:space="preserve">ptjdejkquo</w:t>
      </w:r>
      <w:r>
        <w:t xml:space="preserve">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At 40.00 kg CO2e/unit, the energy consumption during the product\'s</w:t>
      </w:r>
      <w:r>
        <w:t xml:space="preserve"> </w:t>
      </w:r>
      <w:r>
        <w:t xml:space="preserve">5-year lifespan is by far the most significant contributor to its carbon footprint. This highlights the critical</w:t>
      </w:r>
      <w:r>
        <w:t xml:space="preserve"> </w:t>
      </w:r>
      <w:r>
        <w:t xml:space="preserve">importance of improving energy efficiency for the end-user.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Purchased Goods and Services (Scope 3, Category 1 - Materials):</w:t>
      </w:r>
      <w:r>
        <w:t xml:space="preserve"> </w:t>
      </w:r>
      <w:r>
        <w:t xml:space="preserve">With 5.47 kg CO2e/unit, the production</w:t>
      </w:r>
      <w:r>
        <w:t xml:space="preserve"> </w:t>
      </w:r>
      <w:r>
        <w:t xml:space="preserve">of raw materials and components, particularly the aluminum casing and circuit board assembly, represents the second</w:t>
      </w:r>
      <w:r>
        <w:t xml:space="preserve"> </w:t>
      </w:r>
      <w:r>
        <w:t xml:space="preserve">largest impact. Sourcing lower-carbon materials or optimizing material usage can significantly reduce this impact.</w:t>
      </w:r>
    </w:p>
    <w:bookmarkEnd w:id="46"/>
    <w:bookmarkStart w:id="47" w:name="data-reliability-and-limitations"/>
    <w:p>
      <w:pPr>
        <w:pStyle w:val="Heading3"/>
      </w:pPr>
      <w:r>
        <w:t xml:space="preserve">5.2 Data Reliability and Limitations</w:t>
      </w:r>
    </w:p>
    <w:p>
      <w:pPr>
        <w:pStyle w:val="FirstParagraph"/>
      </w:pPr>
      <w:r>
        <w:t xml:space="preserve">The reliability of this PCF analysis is high due to the use of detailed primary data for the Bill of Materials and</w:t>
      </w:r>
      <w:r>
        <w:t xml:space="preserve"> </w:t>
      </w:r>
      <w:r>
        <w:t xml:space="preserve">specific parameters for energy usage and logistics. Where primary data was not available (e.g., for specific end-of-life</w:t>
      </w:r>
      <w:r>
        <w:t xml:space="preserve"> </w:t>
      </w:r>
      <w:r>
        <w:t xml:space="preserve">treatment pathways or global average grid mixes for the use phase), industry-average emission factors from reputable</w:t>
      </w:r>
      <w:r>
        <w:t xml:space="preserve"> </w:t>
      </w:r>
      <w:r>
        <w:t xml:space="preserve">sources (e.g., Ecoinvent, DEFRA, GHG Protocol guidance) were utilized. The "factory_gate" boundary focuses on direct</w:t>
      </w:r>
      <w:r>
        <w:t xml:space="preserve"> </w:t>
      </w:r>
      <w:r>
        <w:t xml:space="preserve">operational and upstream impacts, but the inclusion of downstream Scope 3 categories ensures a comprehensive</w:t>
      </w:r>
      <w:r>
        <w:t xml:space="preserve"> </w:t>
      </w:r>
      <w:r>
        <w:t xml:space="preserve">lifecycle perspective. The 95% Scope 3 coverage target ensures a robust and defensible inventory.</w:t>
      </w:r>
    </w:p>
    <w:bookmarkEnd w:id="47"/>
    <w:bookmarkStart w:id="48" w:name="recommendations-for-reduction"/>
    <w:p>
      <w:pPr>
        <w:pStyle w:val="Heading3"/>
      </w:pPr>
      <w:r>
        <w:t xml:space="preserve">5.3 Recommendations for Reduction</w:t>
      </w:r>
    </w:p>
    <w:p>
      <w:pPr>
        <w:pStyle w:val="FirstParagraph"/>
      </w:pPr>
      <w:r>
        <w:t xml:space="preserve">Based on this PCF analysis,</w:t>
      </w:r>
      <w:r>
        <w:t xml:space="preserve"> </w:t>
      </w:r>
      <w:r>
        <w:rPr>
          <w:bCs/>
          <w:b/>
        </w:rPr>
        <w:t xml:space="preserve">ideymdioep</w:t>
      </w:r>
      <w:r>
        <w:t xml:space="preserve"> </w:t>
      </w:r>
      <w:r>
        <w:t xml:space="preserve">recommends the following actions for</w:t>
      </w:r>
      <w:r>
        <w:t xml:space="preserve"> </w:t>
      </w:r>
      <w:r>
        <w:rPr>
          <w:bCs/>
          <w:b/>
        </w:rPr>
        <w:t xml:space="preserve">njmtzjnqgw</w:t>
      </w:r>
      <w:r>
        <w:t xml:space="preserve"> </w:t>
      </w:r>
      <w:r>
        <w:t xml:space="preserve">to reduce the carbon footprint of</w:t>
      </w:r>
      <w:r>
        <w:t xml:space="preserve"> </w:t>
      </w:r>
      <w:r>
        <w:rPr>
          <w:bCs/>
          <w:b/>
        </w:rPr>
        <w:t xml:space="preserve">ptjdejkquo</w:t>
      </w:r>
      <w:r>
        <w:t xml:space="preserve">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Optimize Use Phase Energy Efficiency:</w:t>
      </w:r>
      <w:r>
        <w:t xml:space="preserve"> </w:t>
      </w:r>
      <w:r>
        <w:t xml:space="preserve">Focus on product design innovations that drastically</w:t>
      </w:r>
      <w:r>
        <w:t xml:space="preserve"> </w:t>
      </w:r>
      <w:r>
        <w:t xml:space="preserve">reduce energy consumption during the product\'s operational lifespan. Investigate lower power components or</w:t>
      </w:r>
      <w:r>
        <w:t xml:space="preserve"> </w:t>
      </w:r>
      <w:r>
        <w:t xml:space="preserve">features that enable smart energy management.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Explore opportunities to procure lower-carbon aluminum (e.g.,</w:t>
      </w:r>
      <w:r>
        <w:t xml:space="preserve"> </w:t>
      </w:r>
      <w:r>
        <w:t xml:space="preserve">recycled content, green aluminum) and investigate the lifecycle impacts of electronic components to identify</w:t>
      </w:r>
      <w:r>
        <w:t xml:space="preserve"> </w:t>
      </w:r>
      <w:r>
        <w:t xml:space="preserve">more sustainable alternatives or suppliers.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Leverage the existing</w:t>
      </w:r>
      <w:r>
        <w:t xml:space="preserve"> </w:t>
      </w:r>
      <w:r>
        <w:rPr>
          <w:bCs/>
          <w:b/>
        </w:rPr>
        <w:t xml:space="preserve">Circular/Take-back Programs (hjszxxoenv)</w:t>
      </w:r>
      <w:r>
        <w:t xml:space="preserve"> </w:t>
      </w:r>
      <w:r>
        <w:t xml:space="preserve">to maximize</w:t>
      </w:r>
      <w:r>
        <w:t xml:space="preserve"> </w:t>
      </w:r>
      <w:r>
        <w:t xml:space="preserve">the actual recycling rate beyond the 60% baseline. Encourage customer participation and explore design-for-disassembly</w:t>
      </w:r>
      <w:r>
        <w:t xml:space="preserve"> </w:t>
      </w:r>
      <w:r>
        <w:t xml:space="preserve">to improve material recovery.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upstream transportation providers to explore more</w:t>
      </w:r>
      <w:r>
        <w:t xml:space="preserve"> </w:t>
      </w:r>
      <w:r>
        <w:t xml:space="preserve">fuel-efficient modes, routes, or alternative fuels for inbound logistics.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p>
      <w:pPr>
        <w:pStyle w:val="BodyText"/>
      </w:pPr>
      <w:r>
        <w:t xml:space="preserve">Page</w:t>
      </w:r>
      <w:r>
        <w:t xml:space="preserve"> </w:t>
      </w:r>
      <w:r>
        <w:t xml:space="preserve"> </w:t>
      </w:r>
      <w:r>
        <w:t xml:space="preserve">of</w:t>
      </w:r>
      <w:r>
        <w:t xml:space="preserve"> </w:t>
      </w:r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Analysis Report for ptjdejkquo</dc:title>
  <dc:creator/>
  <dc:description>High-detail Product Carbon Footprint (PCF) analysis report for ptjdejkquo, conducted by Senior Sustainability Consultant ideymdioep for njmtzjnqgw, adhering to GHG Protocol and 2026 LSR Update requirements.</dc:description>
  <dc:language>en</dc:language>
  <cp:keywords/>
  <dcterms:created xsi:type="dcterms:W3CDTF">2026-05-30T19:23:28Z</dcterms:created>
  <dcterms:modified xsi:type="dcterms:W3CDTF">2026-05-30T19:23:28Z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