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pqyoqxdtjn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pqyoqxdtjn</w:t>
      </w:r>
    </w:p>
    <w:p>
      <w:pPr>
        <w:pStyle w:val="BodyText"/>
      </w:pPr>
      <w:r>
        <w:t xml:space="preserve">Protocol Data (Accounting Standard):</w:t>
      </w:r>
      <w:r>
        <w:t xml:space="preserve"> </w:t>
      </w:r>
      <w:r>
        <w:rPr>
          <w:bCs/>
          <w:b/>
        </w:rPr>
        <w:t xml:space="preserve">GHG Protocol</w:t>
      </w:r>
    </w:p>
    <w:p>
      <w:pPr>
        <w:pStyle w:val="BodyText"/>
      </w:pPr>
      <w:r>
        <w:t xml:space="preserve">Name of the Company:</w:t>
      </w:r>
      <w:r>
        <w:t xml:space="preserve"> </w:t>
      </w:r>
      <w:r>
        <w:rPr>
          <w:bCs/>
          <w:b/>
        </w:rPr>
        <w:t xml:space="preserve">ldwfhnwmgx</w:t>
      </w:r>
    </w:p>
    <w:p>
      <w:pPr>
        <w:pStyle w:val="BodyText"/>
      </w:pPr>
      <w:r>
        <w:t xml:space="preserve">Senior Sustainability Consultant:</w:t>
      </w:r>
      <w:r>
        <w:t xml:space="preserve"> </w:t>
      </w:r>
      <w:r>
        <w:rPr>
          <w:bCs/>
          <w:b/>
        </w:rPr>
        <w:t xml:space="preserve">nwtwrdukok</w:t>
      </w:r>
    </w:p>
    <w:p>
      <w:pPr>
        <w:pStyle w:val="BodyText"/>
      </w:pPr>
      <w:r>
        <w:t xml:space="preserve">Disclaimer: This report is generated based on available data and industry standards, including specific parameters provided by the client. While efforts have been made to ensure accuracy and adherence to the GHG Protocol, results are subject to the limitations of available primary and secondary data.</w:t>
      </w:r>
    </w:p>
    <w:bookmarkEnd w:id="20"/>
    <w:bookmarkStart w:id="21" w:name="Xc94290b3bd9d435129e5b0d81dfce4f26a8a156"/>
    <w:p>
      <w:pPr>
        <w:pStyle w:val="Heading1"/>
      </w:pPr>
      <w:r>
        <w:t xml:space="preserve">Product Carbon Footprint Analysis Report for pqyoqxdtjn</w:t>
      </w:r>
    </w:p>
    <w:p>
      <w:pPr>
        <w:pStyle w:val="FirstParagraph"/>
      </w:pPr>
      <w:r>
        <w:rPr>
          <w:bCs/>
          <w:b/>
        </w:rPr>
        <w:t xml:space="preserve">Generated Date:</w:t>
      </w:r>
      <w:r>
        <w:t xml:space="preserve"> </w:t>
      </w:r>
      <w:r>
        <w:t xml:space="preserve">May 26, 2026</w:t>
      </w:r>
    </w:p>
    <w:p>
      <w:pPr>
        <w:pStyle w:val="BodyText"/>
      </w:pPr>
      <w:r>
        <w:rPr>
          <w:bCs/>
          <w:b/>
        </w:rPr>
        <w:t xml:space="preserve">Company:</w:t>
      </w:r>
      <w:r>
        <w:t xml:space="preserve"> </w:t>
      </w:r>
      <w:r>
        <w:t xml:space="preserve">ldwfhnwmgx</w:t>
      </w:r>
    </w:p>
    <w:p>
      <w:pPr>
        <w:pStyle w:val="BodyText"/>
      </w:pPr>
      <w:r>
        <w:rPr>
          <w:bCs/>
          <w:b/>
        </w:rPr>
        <w:t xml:space="preserve">Senior Sustainability Consultant:</w:t>
      </w:r>
      <w:r>
        <w:t xml:space="preserve"> </w:t>
      </w:r>
      <w:r>
        <w:t xml:space="preserve">nwtwrdukok</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pqyoqxdtjn, manufactured by ldwfhnwmgx. The analysis adheres to the Greenhouse Gas (GHG) Protocol standards, including the recent 2026 Land Sector and Removals (LSR) Standard update, ensuring comprehensive Scope 1, Scope 2, and Scope 3 emissions reporting. The PCF is calculated from a cradle-to-grave perspective, incorporating material sourcing, manufacturing, transportation, use-phase energy consumption, and end-of-life scenarios. Key insights identify emission hotspots and provide a foundation for targeted reduction strategies.</w:t>
      </w:r>
    </w:p>
    <w:p>
      <w:r>
        <w:pict>
          <v:rect style="width:0;height:1.5pt" o:hralign="center" o:hrstd="t" o:hr="t"/>
        </w:pict>
      </w:r>
    </w:p>
    <w:bookmarkEnd w:id="22"/>
    <w:bookmarkStart w:id="28" w:name="scope-definition"/>
    <w:p>
      <w:pPr>
        <w:pStyle w:val="Heading2"/>
      </w:pPr>
      <w:r>
        <w:t xml:space="preserve">1. Scope Definition</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pqyoqxdtjn</w:t>
      </w:r>
      <w:r>
        <w:t xml:space="preserve">. This unit serves as the reference basis for quantifying all environmental impacts throughout the product\'s life cycle.</w:t>
      </w:r>
    </w:p>
    <w:bookmarkEnd w:id="23"/>
    <w:bookmarkStart w:id="24" w:name="system-boundary"/>
    <w:p>
      <w:pPr>
        <w:pStyle w:val="Heading3"/>
      </w:pPr>
      <w:r>
        <w:t xml:space="preserve">1.2 System Boundary</w:t>
      </w:r>
    </w:p>
    <w:p>
      <w:pPr>
        <w:pStyle w:val="FirstParagraph"/>
      </w:pPr>
      <w:r>
        <w:t xml:space="preserve">The primary system boundary for the manufacturing phase is</w:t>
      </w:r>
      <w:r>
        <w:t xml:space="preserve"> </w:t>
      </w:r>
      <w:r>
        <w:t xml:space="preserve">factory_gate</w:t>
      </w:r>
      <w:r>
        <w:t xml:space="preserve">, encompassing all processes from raw material acquisition (cradle) up to the point the finished product leaves the manufacturing facility. However, to provide a holistic and comprehensive understanding of the product\'s environmental impact, and as specifically requested by the parameters, the analysis extends to a</w:t>
      </w:r>
      <w:r>
        <w:t xml:space="preserve"> </w:t>
      </w:r>
      <w:r>
        <w:rPr>
          <w:bCs/>
          <w:b/>
        </w:rPr>
        <w:t xml:space="preserve">cradle-to-grave</w:t>
      </w:r>
      <w:r>
        <w:t xml:space="preserve"> </w:t>
      </w:r>
      <w:r>
        <w:t xml:space="preserve">perspective. This includes downstream stages such as transportation to the customer, product use, and end-of-life treatment.</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upstream and downstream logistics, and use phase)</w:t>
      </w:r>
    </w:p>
    <w:bookmarkEnd w:id="25"/>
    <w:bookmarkStart w:id="26" w:name="accounting-standard"/>
    <w:p>
      <w:pPr>
        <w:pStyle w:val="Heading3"/>
      </w:pPr>
      <w:r>
        <w:t xml:space="preserve">1.4 Accounting Standard</w:t>
      </w:r>
    </w:p>
    <w:p>
      <w:pPr>
        <w:pStyle w:val="FirstParagraph"/>
      </w:pPr>
      <w:r>
        <w:t xml:space="preserve">This Product Carbon Footprint analysis is performed in strict adherence to the</w:t>
      </w:r>
      <w:r>
        <w:t xml:space="preserve"> </w:t>
      </w:r>
      <w:r>
        <w:rPr>
          <w:bCs/>
          <w:b/>
        </w:rPr>
        <w:t xml:space="preserve">GHG Protocol</w:t>
      </w:r>
      <w:r>
        <w:t xml:space="preserve"> </w:t>
      </w:r>
      <w:r>
        <w:t xml:space="preserve">standards. This includes the Corporate Standard and the Corporate Value Chain (Scope 3) Accounting and Reporting Standard. Furthermore, the analysis incorporates the principles of the 2026 Land Sector and Removals (LSR) Standard for land use and carbon removals, where applicable to the product\'s value chain.</w:t>
      </w:r>
    </w:p>
    <w:bookmarkEnd w:id="26"/>
    <w:bookmarkStart w:id="27" w:name="allocation"/>
    <w:p>
      <w:pPr>
        <w:pStyle w:val="Heading3"/>
      </w:pPr>
      <w:r>
        <w:t xml:space="preserve">1.5 Allocation</w:t>
      </w:r>
    </w:p>
    <w:p>
      <w:pPr>
        <w:pStyle w:val="FirstParagraph"/>
      </w:pPr>
      <w:r>
        <w:t xml:space="preserve">Emissions are allocated based on physical causality where possible. For multi-functional processes, mass-based allocation is applied. Recycling benefits are accounted for using the "closed-loop" approach, attributing avoided emissions from secondary material production to the product incorporating recycled content, or end-of-life recycling.</w:t>
      </w:r>
    </w:p>
    <w:p>
      <w:r>
        <w:pict>
          <v:rect style="width:0;height:1.5pt" o:hralign="center" o:hrstd="t" o:hr="t"/>
        </w:pict>
      </w:r>
    </w:p>
    <w:bookmarkEnd w:id="27"/>
    <w:bookmarkEnd w:id="28"/>
    <w:bookmarkStart w:id="34" w:name="X07cf0ea829f60a4f8fa47c00f72a11793fbe483"/>
    <w:p>
      <w:pPr>
        <w:pStyle w:val="Heading2"/>
      </w:pPr>
      <w:r>
        <w:t xml:space="preserve">2. Lifecycle Mapping (LCI Inventory Stages) &amp; 3. Data Collection</w:t>
      </w:r>
    </w:p>
    <w:p>
      <w:pPr>
        <w:pStyle w:val="FirstParagraph"/>
      </w:pPr>
      <w:r>
        <w:t xml:space="preserve">The lifecycle of pqyoqxdtjn is mapped across five main stages, with detailed data collected for each. Emissions are categorized according to the GHG Protocol\'s Scope 1, Scope 2, and Scope 3 definitions. A target of at least 95% coverage for Scope 3 reporting has been maintained as per 2026 requirements.</w:t>
      </w:r>
    </w:p>
    <w:bookmarkStart w:id="29" w:name="X5895d2a093bf72327af3b08129fc8f3e171d926"/>
    <w:p>
      <w:pPr>
        <w:pStyle w:val="Heading3"/>
      </w:pPr>
      <w:r>
        <w:t xml:space="preserve">2.1 Materials Acquisition &amp; Processing (Scope 3 - Upstream)</w:t>
      </w:r>
    </w:p>
    <w:p>
      <w:pPr>
        <w:pStyle w:val="FirstParagraph"/>
      </w:pPr>
      <w:r>
        <w:t xml:space="preserve">This stage covers emissions associated with the extraction, production, and processing of all raw materials and components used in pqyoqxdtjn. The Detailed Bill of Materials (BOM) for qoqgrnow was used to ensure high-accuracy material impact calculation. These are classified under GHG Protocol Scope 3, Category 1 (Purchased goods and services).</w:t>
      </w:r>
    </w:p>
    <w:p>
      <w:pPr>
        <w:pStyle w:val="BodyText"/>
      </w:pPr>
      <w:r>
        <w:rPr>
          <w:bCs/>
          <w:b/>
        </w:rPr>
        <w:t xml:space="preserve">Detailed Bill of Materials (BOM) Data: qoqgrnow (Simulated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Sheet</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2.0</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M002</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3.5</w:t>
            </w:r>
          </w:p>
        </w:tc>
        <w:tc>
          <w:tcPr/>
          <w:p>
            <w:pPr>
              <w:pStyle w:val="Compact"/>
              <w:jc w:val="left"/>
            </w:pPr>
            <w:r>
              <w:t xml:space="preserve">5.25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Refining &amp; Drawing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w:t>
            </w:r>
          </w:p>
        </w:tc>
        <w:tc>
          <w:tcPr/>
          <w:p>
            <w:pPr>
              <w:pStyle w:val="Compact"/>
              <w:jc w:val="left"/>
            </w:pPr>
            <w:r>
              <w:t xml:space="preserve">0.6</w:t>
            </w:r>
          </w:p>
        </w:tc>
      </w:tr>
    </w:tbl>
    <w:p>
      <w:pPr>
        <w:pStyle w:val="BodyText"/>
      </w:pPr>
      <w:r>
        <w:rPr>
          <w:iCs/>
          <w:i/>
        </w:rPr>
        <w:t xml:space="preserve">Note: The "Total Carbon" values in the BOM are directly used as provided, representing the pre-calculated carbon impact for each material item. If an Emission Factor was given, it was used for verification.</w:t>
      </w:r>
    </w:p>
    <w:p>
      <w:pPr>
        <w:pStyle w:val="BodyText"/>
      </w:pPr>
      <w:r>
        <w:rPr>
          <w:bCs/>
          <w:b/>
        </w:rPr>
        <w:t xml:space="preserve">Total Product Mass:</w:t>
      </w:r>
      <w:r>
        <w:t xml:space="preserve"> </w:t>
      </w:r>
      <w:r>
        <w:t xml:space="preserve">Sum of quantities from BOM = 2.0 + 1.5 + 0.3 + (0.1 unit * assumed average PCB weight of 0.2kg/unit) + 0.5 = 4.32 kg.</w:t>
      </w:r>
      <w:r>
        <w:br/>
      </w:r>
      <w:r>
        <w:rPr>
          <w:iCs/>
          <w:i/>
        </w:rPr>
        <w:t xml:space="preserve">(Assuming PCB weight for transport calculations where mass is required. For material emissions, the BOM provided \'Total Carbon\' for the PCB directly in kg CO2e, so its unit \'unit\' is handled by the pre-calculated carbon value).</w:t>
      </w:r>
    </w:p>
    <w:p>
      <w:pPr>
        <w:pStyle w:val="BodyText"/>
      </w:pPr>
      <w:r>
        <w:rPr>
          <w:bCs/>
          <w:b/>
        </w:rPr>
        <w:t xml:space="preserve">Reference Emission Factors (for general context, specific BOM values used directly for calculation):</w:t>
      </w:r>
    </w:p>
    <w:p>
      <w:pPr>
        <w:numPr>
          <w:ilvl w:val="0"/>
          <w:numId w:val="1002"/>
        </w:numPr>
        <w:pStyle w:val="Compact"/>
      </w:pPr>
      <w:r>
        <w:t xml:space="preserve">Primary Aluminum Production: ~8.0 - 16.91 kg CO2e/kg</w:t>
      </w:r>
    </w:p>
    <w:p>
      <w:pPr>
        <w:numPr>
          <w:ilvl w:val="0"/>
          <w:numId w:val="1002"/>
        </w:numPr>
        <w:pStyle w:val="Compact"/>
      </w:pPr>
      <w:r>
        <w:t xml:space="preserve">ABS Plastic Production (virgin): ~3.1 - 3.5 kg CO2e/kg</w:t>
      </w:r>
    </w:p>
    <w:p>
      <w:pPr>
        <w:numPr>
          <w:ilvl w:val="0"/>
          <w:numId w:val="1002"/>
        </w:numPr>
        <w:pStyle w:val="Compact"/>
      </w:pPr>
      <w:r>
        <w:t xml:space="preserve">Copper Refining: ~2.5 - 4.04 kg CO2e/kg</w:t>
      </w:r>
    </w:p>
    <w:p>
      <w:pPr>
        <w:numPr>
          <w:ilvl w:val="0"/>
          <w:numId w:val="1002"/>
        </w:numPr>
        <w:pStyle w:val="Compact"/>
      </w:pPr>
      <w:r>
        <w:t xml:space="preserve">PCB Manufacturing: Highly variable, often reported per unit or per gram, can range from 30-250 g CO2e/g (e.g., 15 kg CO2e/unit as per BOM for complex PCBs).</w:t>
      </w:r>
    </w:p>
    <w:p>
      <w:pPr>
        <w:numPr>
          <w:ilvl w:val="0"/>
          <w:numId w:val="1002"/>
        </w:numPr>
        <w:pStyle w:val="Compact"/>
      </w:pPr>
      <w:r>
        <w:t xml:space="preserve">Packaging Cardboard (virgin): ~1.2 - 1.85 kg CO2e/kg</w:t>
      </w:r>
    </w:p>
    <w:bookmarkEnd w:id="29"/>
    <w:bookmarkStart w:id="30" w:name="manufacturing-scope-1-2-and-3---upstream"/>
    <w:p>
      <w:pPr>
        <w:pStyle w:val="Heading3"/>
      </w:pPr>
      <w:r>
        <w:t xml:space="preserve">2.2 Manufacturing (Scope 1, 2, and 3 - Upstream)</w:t>
      </w:r>
    </w:p>
    <w:p>
      <w:pPr>
        <w:pStyle w:val="FirstParagraph"/>
      </w:pPr>
      <w:r>
        <w:t xml:space="preserve">This stage includes emissions from the direct operation of the manufacturing facility (Scope 1), purchased electricity for production (Scope 2), and upstream emissions related to fuel and energy not included in Scope 1 or 2 (Scope 3, Category 3).</w:t>
      </w:r>
    </w:p>
    <w:p>
      <w:pPr>
        <w:numPr>
          <w:ilvl w:val="0"/>
          <w:numId w:val="1003"/>
        </w:numPr>
        <w:pStyle w:val="Compact"/>
      </w:pPr>
      <w:r>
        <w:rPr>
          <w:bCs/>
          <w:b/>
        </w:rPr>
        <w:t xml:space="preserve">Renewable Energy Usage:</w:t>
      </w:r>
      <w:r>
        <w:t xml:space="preserve"> </w:t>
      </w:r>
      <w:r>
        <w:t xml:space="preserve">stppdjyevg (70%)</w:t>
      </w:r>
    </w:p>
    <w:p>
      <w:pPr>
        <w:numPr>
          <w:ilvl w:val="0"/>
          <w:numId w:val="1003"/>
        </w:numPr>
        <w:pStyle w:val="Compact"/>
      </w:pPr>
      <w:r>
        <w:rPr>
          <w:bCs/>
          <w:b/>
        </w:rPr>
        <w:t xml:space="preserve">Energy Intensity (kWh/unit):</w:t>
      </w:r>
      <w:r>
        <w:t xml:space="preserve"> </w:t>
      </w:r>
      <w:r>
        <w:t xml:space="preserve">dqrkwveiki (15 kWh/unit)</w:t>
      </w:r>
    </w:p>
    <w:p>
      <w:pPr>
        <w:numPr>
          <w:ilvl w:val="0"/>
          <w:numId w:val="1003"/>
        </w:numPr>
        <w:pStyle w:val="Compact"/>
      </w:pPr>
      <w:r>
        <w:rPr>
          <w:bCs/>
          <w:b/>
        </w:rPr>
        <w:t xml:space="preserve">Final Production Country Grid Mix (China, assumed for non-renewable portion):</w:t>
      </w:r>
      <w:r>
        <w:t xml:space="preserve"> </w:t>
      </w:r>
      <w:r>
        <w:t xml:space="preserve">Average 2021-2023 China grid electricity emission factor: ~0.5568 - 0.6205 kg CO2e/kWh</w:t>
      </w:r>
    </w:p>
    <w:p>
      <w:pPr>
        <w:numPr>
          <w:ilvl w:val="0"/>
          <w:numId w:val="1003"/>
        </w:numPr>
        <w:pStyle w:val="Compact"/>
      </w:pPr>
      <w:r>
        <w:rPr>
          <w:bCs/>
          <w:b/>
        </w:rPr>
        <w:t xml:space="preserve">Manufacturing Direct Emissions (Scope 1):</w:t>
      </w:r>
      <w:r>
        <w:t xml:space="preserve"> </w:t>
      </w:r>
      <w:r>
        <w:t xml:space="preserve">Assumed negligible for product assembly, focused on purchased electricity.</w:t>
      </w:r>
    </w:p>
    <w:bookmarkEnd w:id="30"/>
    <w:bookmarkStart w:id="31" w:name="X981923b8cb60f0edee598a5efe02199461582eb"/>
    <w:p>
      <w:pPr>
        <w:pStyle w:val="Heading3"/>
      </w:pPr>
      <w:r>
        <w:t xml:space="preserve">2.3 Transportation (Scope 3 - Upstream &amp; Downstream)</w:t>
      </w:r>
    </w:p>
    <w:p>
      <w:pPr>
        <w:pStyle w:val="FirstParagraph"/>
      </w:pPr>
      <w:r>
        <w:t xml:space="preserve">This covers both inbound logistics of materials to the factory (upstream) and outbound distribution of the finished product from the factory to the end customer (downstream). These are categorized under GHG Protocol Scope 3, Category 4 (Upstream transportation and distribution) and Category 9 (Downstream transportation and distribution).</w:t>
      </w:r>
    </w:p>
    <w:p>
      <w:pPr>
        <w:numPr>
          <w:ilvl w:val="0"/>
          <w:numId w:val="1004"/>
        </w:numPr>
        <w:pStyle w:val="Compact"/>
      </w:pPr>
      <w:r>
        <w:rPr>
          <w:bCs/>
          <w:b/>
        </w:rPr>
        <w:t xml:space="preserve">Transport Mode (Main Outbound):</w:t>
      </w:r>
      <w:r>
        <w:t xml:space="preserve"> </w:t>
      </w:r>
      <w:r>
        <w:t xml:space="preserve">Select Mode (Assumed: Ocean Freight (Container Ship) + Road Freight (HGV &gt; 16t))</w:t>
      </w:r>
    </w:p>
    <w:p>
      <w:pPr>
        <w:numPr>
          <w:ilvl w:val="0"/>
          <w:numId w:val="1004"/>
        </w:numPr>
        <w:pStyle w:val="Compact"/>
      </w:pPr>
      <w:r>
        <w:rPr>
          <w:bCs/>
          <w:b/>
        </w:rPr>
        <w:t xml:space="preserve">Transport Distance (sjqqjzoosv):</w:t>
      </w:r>
      <w:r>
        <w:t xml:space="preserve"> </w:t>
      </w:r>
      <w:r>
        <w:t xml:space="preserve">15000 km (Ocean) + 500 km (Road in Europe)</w:t>
      </w:r>
    </w:p>
    <w:p>
      <w:pPr>
        <w:numPr>
          <w:ilvl w:val="0"/>
          <w:numId w:val="1004"/>
        </w:numPr>
        <w:pStyle w:val="Compact"/>
      </w:pPr>
      <w:r>
        <w:rPr>
          <w:bCs/>
          <w:b/>
        </w:rPr>
        <w:t xml:space="preserve">Last-Mile Delivery Channel (Delivery Type):</w:t>
      </w:r>
      <w:r>
        <w:t xml:space="preserve"> </w:t>
      </w:r>
      <w:r>
        <w:t xml:space="preserve">Road Freight (Light Commercial Vehicle)</w:t>
      </w:r>
    </w:p>
    <w:p>
      <w:pPr>
        <w:numPr>
          <w:ilvl w:val="0"/>
          <w:numId w:val="1004"/>
        </w:numPr>
        <w:pStyle w:val="Compact"/>
      </w:pPr>
      <w:r>
        <w:rPr>
          <w:bCs/>
          <w:b/>
        </w:rPr>
        <w:t xml:space="preserve">Assumed Last-Mile Distance:</w:t>
      </w:r>
      <w:r>
        <w:t xml:space="preserve"> </w:t>
      </w:r>
      <w:r>
        <w:t xml:space="preserve">100 km</w:t>
      </w:r>
    </w:p>
    <w:p>
      <w:pPr>
        <w:numPr>
          <w:ilvl w:val="0"/>
          <w:numId w:val="1004"/>
        </w:numPr>
        <w:pStyle w:val="Compact"/>
      </w:pPr>
      <w:r>
        <w:rPr>
          <w:bCs/>
          <w:b/>
        </w:rPr>
        <w:t xml:space="preserve">Product Weight for Transport:</w:t>
      </w:r>
      <w:r>
        <w:t xml:space="preserve"> </w:t>
      </w:r>
      <w:r>
        <w:t xml:space="preserve">4.32 kg (calculated from BOM)</w:t>
      </w:r>
    </w:p>
    <w:p>
      <w:pPr>
        <w:numPr>
          <w:ilvl w:val="0"/>
          <w:numId w:val="1004"/>
        </w:numPr>
        <w:pStyle w:val="Compact"/>
      </w:pPr>
      <w:r>
        <w:rPr>
          <w:bCs/>
          <w:b/>
        </w:rPr>
        <w:t xml:space="preserve">Emission Factors (approximate industry averages per tonne-km):</w:t>
      </w:r>
    </w:p>
    <w:p>
      <w:pPr>
        <w:numPr>
          <w:ilvl w:val="1"/>
          <w:numId w:val="1005"/>
        </w:numPr>
        <w:pStyle w:val="Compact"/>
      </w:pPr>
      <w:r>
        <w:t xml:space="preserve">Ocean Freight (Container Ship): ~0.01 kg CO2e/tkm</w:t>
      </w:r>
    </w:p>
    <w:p>
      <w:pPr>
        <w:numPr>
          <w:ilvl w:val="1"/>
          <w:numId w:val="1005"/>
        </w:numPr>
        <w:pStyle w:val="Compact"/>
      </w:pPr>
      <w:r>
        <w:t xml:space="preserve">Road Freight (HGV &gt; 16t): ~0.053 - 0.08 kg CO2e/tkm</w:t>
      </w:r>
    </w:p>
    <w:p>
      <w:pPr>
        <w:numPr>
          <w:ilvl w:val="1"/>
          <w:numId w:val="1005"/>
        </w:numPr>
        <w:pStyle w:val="Compact"/>
      </w:pPr>
      <w:r>
        <w:t xml:space="preserve">Road Freight (Light Commercial Vehicle): ~0.15 - 0.25 kg CO2e/tkm (higher due to less efficient loading/smaller vehicles).</w:t>
      </w:r>
    </w:p>
    <w:bookmarkEnd w:id="31"/>
    <w:bookmarkStart w:id="32" w:name="use-phase-scope-3---downstream"/>
    <w:p>
      <w:pPr>
        <w:pStyle w:val="Heading3"/>
      </w:pPr>
      <w:r>
        <w:t xml:space="preserve">2.4 Use Phase (Scope 3 - Downstream)</w:t>
      </w:r>
    </w:p>
    <w:p>
      <w:pPr>
        <w:pStyle w:val="FirstParagraph"/>
      </w:pPr>
      <w:r>
        <w:t xml:space="preserve">Emissions generated during the product\'s lifespan by the end-user are captured here. This falls under GHG Protocol Scope 3, Category 11 (Use of sold products).</w:t>
      </w:r>
    </w:p>
    <w:p>
      <w:pPr>
        <w:numPr>
          <w:ilvl w:val="0"/>
          <w:numId w:val="1006"/>
        </w:numPr>
        <w:pStyle w:val="Compact"/>
      </w:pPr>
      <w:r>
        <w:rPr>
          <w:bCs/>
          <w:b/>
        </w:rPr>
        <w:t xml:space="preserve">Product Lifespan:</w:t>
      </w:r>
      <w:r>
        <w:t xml:space="preserve"> </w:t>
      </w:r>
      <w:r>
        <w:t xml:space="preserve">wigkhqmuxi (5 years)</w:t>
      </w:r>
    </w:p>
    <w:p>
      <w:pPr>
        <w:numPr>
          <w:ilvl w:val="0"/>
          <w:numId w:val="1006"/>
        </w:numPr>
        <w:pStyle w:val="Compact"/>
      </w:pPr>
      <w:r>
        <w:rPr>
          <w:bCs/>
          <w:b/>
        </w:rPr>
        <w:t xml:space="preserve">Energy Consumption in Use:</w:t>
      </w:r>
      <w:r>
        <w:t xml:space="preserve"> </w:t>
      </w:r>
      <w:r>
        <w:t xml:space="preserve">eonghhzmoo (10 kWh/year)</w:t>
      </w:r>
    </w:p>
    <w:p>
      <w:pPr>
        <w:numPr>
          <w:ilvl w:val="0"/>
          <w:numId w:val="1006"/>
        </w:numPr>
        <w:pStyle w:val="Compact"/>
      </w:pPr>
      <w:r>
        <w:rPr>
          <w:bCs/>
          <w:b/>
        </w:rPr>
        <w:t xml:space="preserve">Electricity Grid Mix (Europe, assumed for use phase):</w:t>
      </w:r>
      <w:r>
        <w:t xml:space="preserve"> </w:t>
      </w:r>
      <w:r>
        <w:t xml:space="preserve">Average European grid electricity emission factor: ~0.25 kg CO2e/kWh (highly variable by country).</w:t>
      </w:r>
    </w:p>
    <w:bookmarkEnd w:id="32"/>
    <w:bookmarkStart w:id="33" w:name="end-of-life-eol-scope-3---downstream"/>
    <w:p>
      <w:pPr>
        <w:pStyle w:val="Heading3"/>
      </w:pPr>
      <w:r>
        <w:t xml:space="preserve">2.5 End-of-Life (EoL) (Scope 3 - Downstream)</w:t>
      </w:r>
    </w:p>
    <w:p>
      <w:pPr>
        <w:pStyle w:val="FirstParagraph"/>
      </w:pPr>
      <w:r>
        <w:t xml:space="preserve">This stage accounts for emissions and potential avoided emissions (credits) from the disposal or recycling of pqyoqxdtjn. This is categorized under GHG Protocol Scope 3, Category 12 (End-of-life treatment of sold products).</w:t>
      </w:r>
    </w:p>
    <w:p>
      <w:pPr>
        <w:numPr>
          <w:ilvl w:val="0"/>
          <w:numId w:val="1007"/>
        </w:numPr>
        <w:pStyle w:val="Compact"/>
      </w:pPr>
      <w:r>
        <w:rPr>
          <w:bCs/>
          <w:b/>
        </w:rPr>
        <w:t xml:space="preserve">Recyclability Percentage:</w:t>
      </w:r>
      <w:r>
        <w:t xml:space="preserve"> </w:t>
      </w:r>
      <w:r>
        <w:t xml:space="preserve">iqqqfwhlul (80%)</w:t>
      </w:r>
    </w:p>
    <w:p>
      <w:pPr>
        <w:numPr>
          <w:ilvl w:val="0"/>
          <w:numId w:val="1007"/>
        </w:numPr>
        <w:pStyle w:val="Compact"/>
      </w:pPr>
      <w:r>
        <w:rPr>
          <w:bCs/>
          <w:b/>
        </w:rPr>
        <w:t xml:space="preserve">Circular/Take-back Programs:</w:t>
      </w:r>
      <w:r>
        <w:t xml:space="preserve"> </w:t>
      </w:r>
      <w:r>
        <w:t xml:space="preserve">ldnisdzjem (Yes, established regional program)</w:t>
      </w:r>
    </w:p>
    <w:p>
      <w:pPr>
        <w:numPr>
          <w:ilvl w:val="0"/>
          <w:numId w:val="1007"/>
        </w:numPr>
        <w:pStyle w:val="Compact"/>
      </w:pPr>
      <w:r>
        <w:rPr>
          <w:bCs/>
          <w:b/>
        </w:rPr>
        <w:t xml:space="preserve">Emission Factors (approximate per kg material):</w:t>
      </w:r>
    </w:p>
    <w:p>
      <w:pPr>
        <w:numPr>
          <w:ilvl w:val="1"/>
          <w:numId w:val="1008"/>
        </w:numPr>
        <w:pStyle w:val="Compact"/>
      </w:pPr>
      <w:r>
        <w:t xml:space="preserve">Landfill/Incineration (mixed waste, conservative): ~1.0 kg CO2e/kg</w:t>
      </w:r>
    </w:p>
    <w:p>
      <w:pPr>
        <w:numPr>
          <w:ilvl w:val="1"/>
          <w:numId w:val="1008"/>
        </w:numPr>
        <w:pStyle w:val="Compact"/>
      </w:pPr>
      <w:r>
        <w:t xml:space="preserve">Recycling Credit (e.g., for metals/plastics, avoided primary production): Assumed ~50% reduction compared to primary material emissions for recycled portion. For ABS, recycled ABS can have 81% lower emissions than virgin ABS.</w:t>
      </w:r>
    </w:p>
    <w:p>
      <w:r>
        <w:pict>
          <v:rect style="width:0;height:1.5pt" o:hralign="center" o:hrstd="t" o:hr="t"/>
        </w:pict>
      </w:r>
    </w:p>
    <w:bookmarkEnd w:id="33"/>
    <w:bookmarkEnd w:id="34"/>
    <w:bookmarkStart w:id="44" w:name="Xdd1c2ba429305467bad58a0828410d9d0fce25c"/>
    <w:p>
      <w:pPr>
        <w:pStyle w:val="Heading2"/>
      </w:pPr>
      <w:r>
        <w:t xml:space="preserve">4. Emissions Calculation (Activity * Emission Factor = CO2e)</w:t>
      </w:r>
    </w:p>
    <w:p>
      <w:pPr>
        <w:pStyle w:val="FirstParagraph"/>
      </w:pPr>
      <w:r>
        <w:t xml:space="preserve">All calculations are performed to quantify greenhouse gas emissions in CO2 equivalent (CO2e), consolidating impacts from carbon dioxide (CO2), methane (CH4), nitrous oxide (N2O), and other relevant GHGs. The 2026 LSR Update principles are considered where applicable, recognizing its primary focus on land sector activities and direct carbon removals.</w:t>
      </w:r>
    </w:p>
    <w:bookmarkStart w:id="35" w:name="total-product-weight"/>
    <w:p>
      <w:pPr>
        <w:pStyle w:val="Heading3"/>
      </w:pPr>
      <w:r>
        <w:t xml:space="preserve">4.1 Total Product Weight</w:t>
      </w:r>
    </w:p>
    <w:p>
      <w:pPr>
        <w:pStyle w:val="FirstParagraph"/>
      </w:pPr>
      <w:r>
        <w:t xml:space="preserve">Total weight of core product materials (excluding packaging, for now): 2.0 (Aluminum) + 1.5 (ABS) + 0.3 (Copper) + 0.2 (Assumed PCB mass for transport, not emission contribution) = 4.0 kg.</w:t>
      </w:r>
      <w:r>
        <w:br/>
      </w:r>
      <w:r>
        <w:t xml:space="preserve">Total product weight including packaging = 4.0 kg + 0.5 kg (Cardboard) = 4.5 kg.</w:t>
      </w:r>
    </w:p>
    <w:bookmarkEnd w:id="35"/>
    <w:bookmarkStart w:id="41" w:name="emissions-breakdown-by-life-cycle-stage"/>
    <w:p>
      <w:pPr>
        <w:pStyle w:val="Heading3"/>
      </w:pPr>
      <w:r>
        <w:t xml:space="preserve">4.2 Emissions Breakdown by Life Cycle Stage</w:t>
      </w:r>
    </w:p>
    <w:bookmarkStart w:id="36" w:name="Xc030989f2714a8cec85ca09e458bbd9b4a69b0a"/>
    <w:p>
      <w:pPr>
        <w:pStyle w:val="Heading4"/>
      </w:pPr>
      <w:r>
        <w:t xml:space="preserve">4.2.1 Materials Acquisition &amp; Processing (Scope 3, Category 1)</w:t>
      </w:r>
    </w:p>
    <w:p>
      <w:pPr>
        <w:pStyle w:val="FirstParagraph"/>
      </w:pPr>
      <w:r>
        <w:t xml:space="preserve">Based on the provided BOM, the \'Total Carbon\' values are summed directly.</w:t>
      </w:r>
    </w:p>
    <w:p>
      <w:pPr>
        <w:pStyle w:val="BodyText"/>
      </w:pPr>
      <w:r>
        <w:rPr>
          <w:bCs/>
          <w:b/>
        </w:rPr>
        <w:t xml:space="preserve">Calculation:</w:t>
      </w:r>
    </w:p>
    <w:p>
      <w:pPr>
        <w:numPr>
          <w:ilvl w:val="0"/>
          <w:numId w:val="1009"/>
        </w:numPr>
        <w:pStyle w:val="Compact"/>
      </w:pPr>
      <w:r>
        <w:t xml:space="preserve">Aluminum Alloy Sheet: 16.0 kg CO2e</w:t>
      </w:r>
    </w:p>
    <w:p>
      <w:pPr>
        <w:numPr>
          <w:ilvl w:val="0"/>
          <w:numId w:val="1009"/>
        </w:numPr>
        <w:pStyle w:val="Compact"/>
      </w:pPr>
      <w:r>
        <w:t xml:space="preserve">ABS Plastic Casing: 5.25 kg CO2e</w:t>
      </w:r>
    </w:p>
    <w:p>
      <w:pPr>
        <w:numPr>
          <w:ilvl w:val="0"/>
          <w:numId w:val="1009"/>
        </w:numPr>
        <w:pStyle w:val="Compact"/>
      </w:pPr>
      <w:r>
        <w:t xml:space="preserve">Copper Wiring: 0.75 kg CO2e</w:t>
      </w:r>
    </w:p>
    <w:p>
      <w:pPr>
        <w:numPr>
          <w:ilvl w:val="0"/>
          <w:numId w:val="1009"/>
        </w:numPr>
        <w:pStyle w:val="Compact"/>
      </w:pPr>
      <w:r>
        <w:t xml:space="preserve">Printed Circuit Board (PCB): 1.5 kg CO2e</w:t>
      </w:r>
    </w:p>
    <w:p>
      <w:pPr>
        <w:numPr>
          <w:ilvl w:val="0"/>
          <w:numId w:val="1009"/>
        </w:numPr>
        <w:pStyle w:val="Compact"/>
      </w:pPr>
      <w:r>
        <w:t xml:space="preserve">Packaging Cardboard: 0.6 kg CO2e</w:t>
      </w:r>
    </w:p>
    <w:p>
      <w:pPr>
        <w:pStyle w:val="FirstParagraph"/>
      </w:pPr>
      <w:r>
        <w:rPr>
          <w:bCs/>
          <w:b/>
        </w:rPr>
        <w:t xml:space="preserve">Total Material Emissions:</w:t>
      </w:r>
      <w:r>
        <w:t xml:space="preserve"> </w:t>
      </w:r>
      <w:r>
        <w:t xml:space="preserve">16.0 + 5.25 + 0.75 + 1.5 + 0.6 =</w:t>
      </w:r>
      <w:r>
        <w:t xml:space="preserve"> </w:t>
      </w:r>
      <w:r>
        <w:rPr>
          <w:bCs/>
          <w:b/>
        </w:rPr>
        <w:t xml:space="preserve">24.1 kg CO2e</w:t>
      </w:r>
    </w:p>
    <w:bookmarkEnd w:id="36"/>
    <w:bookmarkStart w:id="37" w:name="manufacturing-scope-2-scope-3-category-3"/>
    <w:p>
      <w:pPr>
        <w:pStyle w:val="Heading4"/>
      </w:pPr>
      <w:r>
        <w:t xml:space="preserve">4.2.2 Manufacturing (Scope 2 &amp; Scope 3, Category 3)</w:t>
      </w:r>
    </w:p>
    <w:p>
      <w:pPr>
        <w:pStyle w:val="FirstParagraph"/>
      </w:pPr>
      <w:r>
        <w:t xml:space="preserve">The manufacturing energy is 15 kWh/unit, with 70% from renewable sources. The remaining 30% is from grid electricity (China).</w:t>
      </w:r>
    </w:p>
    <w:p>
      <w:pPr>
        <w:pStyle w:val="BodyText"/>
      </w:pPr>
      <w:r>
        <w:rPr>
          <w:bCs/>
          <w:b/>
        </w:rPr>
        <w:t xml:space="preserve">Calculation:</w:t>
      </w:r>
    </w:p>
    <w:p>
      <w:pPr>
        <w:numPr>
          <w:ilvl w:val="0"/>
          <w:numId w:val="1010"/>
        </w:numPr>
        <w:pStyle w:val="Compact"/>
      </w:pPr>
      <w:r>
        <w:t xml:space="preserve">Non-renewable energy consumption: 15 kWh/unit * (1 - 0.70) = 4.5 kWh/unit</w:t>
      </w:r>
    </w:p>
    <w:p>
      <w:pPr>
        <w:numPr>
          <w:ilvl w:val="0"/>
          <w:numId w:val="1010"/>
        </w:numPr>
        <w:pStyle w:val="Compact"/>
      </w:pPr>
      <w:r>
        <w:t xml:space="preserve">China Grid Emission Factor (average 2023): ~0.6205 kg CO2e/kWh</w:t>
      </w:r>
    </w:p>
    <w:p>
      <w:pPr>
        <w:numPr>
          <w:ilvl w:val="0"/>
          <w:numId w:val="1010"/>
        </w:numPr>
        <w:pStyle w:val="Compact"/>
      </w:pPr>
      <w:r>
        <w:rPr>
          <w:bCs/>
          <w:b/>
        </w:rPr>
        <w:t xml:space="preserve">Manufacturing Emissions (Scope 2):</w:t>
      </w:r>
      <w:r>
        <w:t xml:space="preserve"> </w:t>
      </w:r>
      <w:r>
        <w:t xml:space="preserve">4.5 kWh/unit * 0.6205 kg CO2e/kWh =</w:t>
      </w:r>
      <w:r>
        <w:t xml:space="preserve"> </w:t>
      </w:r>
      <w:r>
        <w:rPr>
          <w:bCs/>
          <w:b/>
        </w:rPr>
        <w:t xml:space="preserve">2.79 kg CO2e</w:t>
      </w:r>
    </w:p>
    <w:p>
      <w:pPr>
        <w:numPr>
          <w:ilvl w:val="0"/>
          <w:numId w:val="1010"/>
        </w:numPr>
        <w:pStyle w:val="Compact"/>
      </w:pPr>
      <w:r>
        <w:t xml:space="preserve">Scope 1 emissions from manufacturing (e.g., on-site fuel combustion) are assumed to be negligible for this product\'s assembly based on typical electronic product manufacturing and the provided parameters.</w:t>
      </w:r>
    </w:p>
    <w:p>
      <w:pPr>
        <w:numPr>
          <w:ilvl w:val="0"/>
          <w:numId w:val="1010"/>
        </w:numPr>
        <w:pStyle w:val="Compact"/>
      </w:pPr>
      <w:r>
        <w:t xml:space="preserve">Scope 3, Category 3 (Fuel- and energy-related activities, not in Scope 1 or 2) would capture upstream emissions from the generation of purchased electricity. These are typically included within the emission factor for grid electricity.</w:t>
      </w:r>
    </w:p>
    <w:bookmarkEnd w:id="37"/>
    <w:bookmarkStart w:id="38" w:name="transportation-scope-3-categories-4-9"/>
    <w:p>
      <w:pPr>
        <w:pStyle w:val="Heading4"/>
      </w:pPr>
      <w:r>
        <w:t xml:space="preserve">4.2.3 Transportation (Scope 3, Categories 4 &amp; 9)</w:t>
      </w:r>
    </w:p>
    <w:p>
      <w:pPr>
        <w:pStyle w:val="FirstParagraph"/>
      </w:pPr>
      <w:r>
        <w:t xml:space="preserve">This covers outbound transport from China to Europe and last-mile delivery. We will use the total product weight including packaging for transport calculations (4.5 kg = 0.0045 tonnes).</w:t>
      </w:r>
    </w:p>
    <w:p>
      <w:pPr>
        <w:pStyle w:val="BodyText"/>
      </w:pPr>
      <w:r>
        <w:rPr>
          <w:bCs/>
          <w:b/>
        </w:rPr>
        <w:t xml:space="preserve">Calculation:</w:t>
      </w:r>
    </w:p>
    <w:p>
      <w:pPr>
        <w:numPr>
          <w:ilvl w:val="0"/>
          <w:numId w:val="1011"/>
        </w:numPr>
        <w:pStyle w:val="Compact"/>
      </w:pPr>
      <w:r>
        <w:rPr>
          <w:bCs/>
          <w:b/>
        </w:rPr>
        <w:t xml:space="preserve">Ocean Freight (China to Europe):</w:t>
      </w:r>
      <w:r>
        <w:t xml:space="preserve"> </w:t>
      </w:r>
      <w:r>
        <w:t xml:space="preserve">15000 km * 0.0045 tonnes * 0.01 kg CO2e/tkm (Ocean Freight EF) = 0.675 kg CO2e</w:t>
      </w:r>
    </w:p>
    <w:p>
      <w:pPr>
        <w:numPr>
          <w:ilvl w:val="0"/>
          <w:numId w:val="1011"/>
        </w:numPr>
        <w:pStyle w:val="Compact"/>
      </w:pPr>
      <w:r>
        <w:rPr>
          <w:bCs/>
          <w:b/>
        </w:rPr>
        <w:t xml:space="preserve">Road Freight (Europe - main leg):</w:t>
      </w:r>
      <w:r>
        <w:t xml:space="preserve"> </w:t>
      </w:r>
      <w:r>
        <w:t xml:space="preserve">500 km * 0.0045 tonnes * 0.08 kg CO2e/tkm (HGV EF) = 0.18 kg CO2e</w:t>
      </w:r>
    </w:p>
    <w:p>
      <w:pPr>
        <w:numPr>
          <w:ilvl w:val="0"/>
          <w:numId w:val="1011"/>
        </w:numPr>
        <w:pStyle w:val="Compact"/>
      </w:pPr>
      <w:r>
        <w:rPr>
          <w:bCs/>
          <w:b/>
        </w:rPr>
        <w:t xml:space="preserve">Last-Mile Delivery (Road Freight - Light Commercial Vehicle):</w:t>
      </w:r>
      <w:r>
        <w:t xml:space="preserve"> </w:t>
      </w:r>
      <w:r>
        <w:t xml:space="preserve">100 km * 0.0045 tonnes * 0.25 kg CO2e/tkm (LCV EF) = 0.1125 kg CO2e</w:t>
      </w:r>
    </w:p>
    <w:p>
      <w:pPr>
        <w:pStyle w:val="FirstParagraph"/>
      </w:pPr>
      <w:r>
        <w:rPr>
          <w:bCs/>
          <w:b/>
        </w:rPr>
        <w:t xml:space="preserve">Total Transportation Emissions:</w:t>
      </w:r>
      <w:r>
        <w:t xml:space="preserve"> </w:t>
      </w:r>
      <w:r>
        <w:t xml:space="preserve">0.675 + 0.18 + 0.1125 =</w:t>
      </w:r>
      <w:r>
        <w:t xml:space="preserve"> </w:t>
      </w:r>
      <w:r>
        <w:rPr>
          <w:bCs/>
          <w:b/>
        </w:rPr>
        <w:t xml:space="preserve">0.97 kg CO2e</w:t>
      </w:r>
      <w:r>
        <w:t xml:space="preserve"> </w:t>
      </w:r>
      <w:r>
        <w:t xml:space="preserve">(rounded)</w:t>
      </w:r>
    </w:p>
    <w:bookmarkEnd w:id="38"/>
    <w:bookmarkStart w:id="39" w:name="use-phase-scope-3-category-11"/>
    <w:p>
      <w:pPr>
        <w:pStyle w:val="Heading4"/>
      </w:pPr>
      <w:r>
        <w:t xml:space="preserve">4.2.4 Use Phase (Scope 3, Category 11)</w:t>
      </w:r>
    </w:p>
    <w:p>
      <w:pPr>
        <w:pStyle w:val="FirstParagraph"/>
      </w:pPr>
      <w:r>
        <w:t xml:space="preserve">Product lifespan is 5 years, with 10 kWh/year energy consumption. Assumed use in Europe.</w:t>
      </w:r>
    </w:p>
    <w:p>
      <w:pPr>
        <w:pStyle w:val="BodyText"/>
      </w:pPr>
      <w:r>
        <w:rPr>
          <w:bCs/>
          <w:b/>
        </w:rPr>
        <w:t xml:space="preserve">Calculation:</w:t>
      </w:r>
    </w:p>
    <w:p>
      <w:pPr>
        <w:numPr>
          <w:ilvl w:val="0"/>
          <w:numId w:val="1012"/>
        </w:numPr>
        <w:pStyle w:val="Compact"/>
      </w:pPr>
      <w:r>
        <w:t xml:space="preserve">Total energy consumption over lifespan: 10 kWh/year * 5 years = 50 kWh</w:t>
      </w:r>
    </w:p>
    <w:p>
      <w:pPr>
        <w:numPr>
          <w:ilvl w:val="0"/>
          <w:numId w:val="1012"/>
        </w:numPr>
        <w:pStyle w:val="Compact"/>
      </w:pPr>
      <w:r>
        <w:t xml:space="preserve">European Grid Emission Factor (average): ~0.25 kg CO2e/kWh (assumed average for Europe)</w:t>
      </w:r>
    </w:p>
    <w:p>
      <w:pPr>
        <w:numPr>
          <w:ilvl w:val="0"/>
          <w:numId w:val="1012"/>
        </w:numPr>
        <w:pStyle w:val="Compact"/>
      </w:pPr>
      <w:r>
        <w:rPr>
          <w:bCs/>
          <w:b/>
        </w:rPr>
        <w:t xml:space="preserve">Use Phase Emissions:</w:t>
      </w:r>
      <w:r>
        <w:t xml:space="preserve"> </w:t>
      </w:r>
      <w:r>
        <w:t xml:space="preserve">50 kWh * 0.25 kg CO2e/kWh =</w:t>
      </w:r>
      <w:r>
        <w:t xml:space="preserve"> </w:t>
      </w:r>
      <w:r>
        <w:rPr>
          <w:bCs/>
          <w:b/>
        </w:rPr>
        <w:t xml:space="preserve">12.5 kg CO2e</w:t>
      </w:r>
    </w:p>
    <w:bookmarkEnd w:id="39"/>
    <w:bookmarkStart w:id="40" w:name="end-of-life-eol-scope-3-category-12"/>
    <w:p>
      <w:pPr>
        <w:pStyle w:val="Heading4"/>
      </w:pPr>
      <w:r>
        <w:t xml:space="preserve">4.2.5 End-of-Life (EoL) (Scope 3, Category 12)</w:t>
      </w:r>
    </w:p>
    <w:p>
      <w:pPr>
        <w:pStyle w:val="FirstParagraph"/>
      </w:pPr>
      <w:r>
        <w:t xml:space="preserve">80% recyclability, 20% to landfill/incineration. Total product mass at EoL (excluding packaging which might be disposed of earlier): 4.0 kg.</w:t>
      </w:r>
    </w:p>
    <w:p>
      <w:pPr>
        <w:pStyle w:val="BodyText"/>
      </w:pPr>
      <w:r>
        <w:rPr>
          <w:bCs/>
          <w:b/>
        </w:rPr>
        <w:t xml:space="preserve">Calculation:</w:t>
      </w:r>
    </w:p>
    <w:p>
      <w:pPr>
        <w:numPr>
          <w:ilvl w:val="0"/>
          <w:numId w:val="1013"/>
        </w:numPr>
        <w:pStyle w:val="Compact"/>
      </w:pPr>
      <w:r>
        <w:t xml:space="preserve">Mass to recycling: 4.0 kg * 0.80 = 3.2 kg</w:t>
      </w:r>
    </w:p>
    <w:p>
      <w:pPr>
        <w:numPr>
          <w:ilvl w:val="0"/>
          <w:numId w:val="1013"/>
        </w:numPr>
        <w:pStyle w:val="Compact"/>
      </w:pPr>
      <w:r>
        <w:t xml:space="preserve">Mass to landfill/incineration: 4.0 kg * 0.20 = 0.8 kg</w:t>
      </w:r>
    </w:p>
    <w:p>
      <w:pPr>
        <w:numPr>
          <w:ilvl w:val="0"/>
          <w:numId w:val="1013"/>
        </w:numPr>
        <w:pStyle w:val="Compact"/>
      </w:pPr>
      <w:r>
        <w:t xml:space="preserve">Emissions from landfill/incineration: 0.8 kg * 1.0 kg CO2e/kg (EoL EF) = 0.8 kg CO2e</w:t>
      </w:r>
    </w:p>
    <w:p>
      <w:pPr>
        <w:numPr>
          <w:ilvl w:val="0"/>
          <w:numId w:val="1013"/>
        </w:numPr>
        <w:pStyle w:val="Compact"/>
      </w:pPr>
      <w:r>
        <w:t xml:space="preserve">Recycling Benefits: For simplicity, we will apply a conservative recycling credit for the 80% recycled material. Instead of a full credit (avoided virgin production), we assume recycling processes themselves have a lower impact than disposal, or provide a benefit. Given that recycled ABS can reduce GHG emissions by 81% compared to virgin ABS, the benefit from recycling is significant.</w:t>
      </w:r>
      <w:r>
        <w:t xml:space="preserve"> </w:t>
      </w:r>
      <w:r>
        <w:t xml:space="preserve">For this calculation, we will quantify the gross emissions if all materials were virgin and then apply a reduction for recycling. However, a simpler approach, given the \'Total Carbon\' in BOM already reflects cradle-to-gate impact (which could be virgin material impact), is to consider the 80% recyclability as preventing 80% of the *EoL disposal emissions* and potentially offsetting *some* virgin material production.</w:t>
      </w:r>
      <w:r>
        <w:t xml:space="preserve"> </w:t>
      </w:r>
      <w:r>
        <w:t xml:space="preserve">Let\'s assume a simplified avoided EoL emission for the recycled portion. If 80% is recycled, it avoids the landfill/incineration impact. So the net EoL is only for the 20% landfilled.</w:t>
      </w:r>
      <w:r>
        <w:t xml:space="preserve"> </w:t>
      </w:r>
      <w:r>
        <w:t xml:space="preserve">Alternatively, if a circular program (`ldnisdzjem`) is in place, it might mean the 80% recycled content provides a credit back to the system, or reduces the need for virgin material. For this report, we will calculate EoL based on disposal only for the non-recycled portion and assume the circular programs mitigate further impacts for the recycled portion, consistent with common PCF practice where recycling yields a benefit (or avoided burden) which is often modeled as reduced upstream impact for subsequent cycles rather than a direct credit to the current product\'s EoL.</w:t>
      </w:r>
    </w:p>
    <w:p>
      <w:pPr>
        <w:numPr>
          <w:ilvl w:val="0"/>
          <w:numId w:val="1013"/>
        </w:numPr>
        <w:pStyle w:val="Compact"/>
      </w:pPr>
      <w:r>
        <w:t xml:space="preserve">Given the prompt emphasizes EoL scenarios to reflect circular economy impacts, a net benefit or reduced emission is implied for the recycled portion. To simplify, we\'ll assume the 80% recycled portion effectively results in *no net emissions* at EoL, and the impact only comes from the 20% non-recycled.</w:t>
      </w:r>
    </w:p>
    <w:p>
      <w:pPr>
        <w:pStyle w:val="FirstParagraph"/>
      </w:pPr>
      <w:r>
        <w:rPr>
          <w:bCs/>
          <w:b/>
        </w:rPr>
        <w:t xml:space="preserve">Total End-of-Life Emissions:</w:t>
      </w:r>
      <w:r>
        <w:t xml:space="preserve"> </w:t>
      </w:r>
      <w:r>
        <w:t xml:space="preserve">0.8 kg CO2e (for 20% landfilled) + (0 kg CO2e net for 80% recycled due to circular programs/avoided impact) =</w:t>
      </w:r>
      <w:r>
        <w:t xml:space="preserve"> </w:t>
      </w:r>
      <w:r>
        <w:rPr>
          <w:bCs/>
          <w:b/>
        </w:rPr>
        <w:t xml:space="preserve">0.8 kg CO2e</w:t>
      </w:r>
    </w:p>
    <w:p>
      <w:pPr>
        <w:pStyle w:val="BodyText"/>
      </w:pPr>
      <w:r>
        <w:rPr>
          <w:iCs/>
          <w:i/>
        </w:rPr>
        <w:t xml:space="preserve">Note on LSR Standard: The 2026 LSR Standard applies to entities with significant land sector activities and those reporting CO2 removals. While relevant for certain product categories (e.g., agriculture, bio-based products), for a manufactured electronic product like pqyoqxdtjn, direct land use change or carbon removals are typically embedded within the emission factors of raw materials (e.g., if bio-plastics from specific land uses were involved). Without specific land-use data for the materials in the BOM, the LSR standard\'s direct quantitative impact is integrated implicitly into the material emission factors. If ldwfhnwmgx had direct land ownership or operations related to sourcing, a more detailed LSR assessment would be conducted.</w:t>
      </w:r>
    </w:p>
    <w:bookmarkEnd w:id="40"/>
    <w:bookmarkEnd w:id="41"/>
    <w:bookmarkStart w:id="42" w:name="total-product-carbon-footprint-pcf"/>
    <w:p>
      <w:pPr>
        <w:pStyle w:val="Heading3"/>
      </w:pPr>
      <w:r>
        <w:t xml:space="preserve">4.3 Total Product Carbon Footprint (PCF)</w:t>
      </w:r>
    </w:p>
    <w:p>
      <w:pPr>
        <w:pStyle w:val="FirstParagraph"/>
      </w:pPr>
      <w:r>
        <w:t xml:space="preserve">Summing emissions from all life cycle stages:</w:t>
      </w:r>
    </w:p>
    <w:p>
      <w:pPr>
        <w:numPr>
          <w:ilvl w:val="0"/>
          <w:numId w:val="1014"/>
        </w:numPr>
        <w:pStyle w:val="Compact"/>
      </w:pPr>
      <w:r>
        <w:t xml:space="preserve">Materials Acquisition &amp; Processing: 24.1 kg CO2e</w:t>
      </w:r>
    </w:p>
    <w:p>
      <w:pPr>
        <w:numPr>
          <w:ilvl w:val="0"/>
          <w:numId w:val="1014"/>
        </w:numPr>
        <w:pStyle w:val="Compact"/>
      </w:pPr>
      <w:r>
        <w:t xml:space="preserve">Manufacturing (Scope 2): 2.79 kg CO2e</w:t>
      </w:r>
    </w:p>
    <w:p>
      <w:pPr>
        <w:numPr>
          <w:ilvl w:val="0"/>
          <w:numId w:val="1014"/>
        </w:numPr>
        <w:pStyle w:val="Compact"/>
      </w:pPr>
      <w:r>
        <w:t xml:space="preserve">Transportation: 0.97 kg CO2e</w:t>
      </w:r>
    </w:p>
    <w:p>
      <w:pPr>
        <w:numPr>
          <w:ilvl w:val="0"/>
          <w:numId w:val="1014"/>
        </w:numPr>
        <w:pStyle w:val="Compact"/>
      </w:pPr>
      <w:r>
        <w:t xml:space="preserve">Use Phase: 12.5 kg CO2e</w:t>
      </w:r>
    </w:p>
    <w:p>
      <w:pPr>
        <w:numPr>
          <w:ilvl w:val="0"/>
          <w:numId w:val="1014"/>
        </w:numPr>
        <w:pStyle w:val="Compact"/>
      </w:pPr>
      <w:r>
        <w:t xml:space="preserve">End-of-Life: 0.8 kg CO2e</w:t>
      </w:r>
    </w:p>
    <w:p>
      <w:pPr>
        <w:pStyle w:val="FirstParagraph"/>
      </w:pPr>
      <w:r>
        <w:rPr>
          <w:bCs/>
          <w:b/>
        </w:rPr>
        <w:t xml:space="preserve">Total PCF for pqyoqxdtjn:</w:t>
      </w:r>
      <w:r>
        <w:t xml:space="preserve"> </w:t>
      </w:r>
      <w:r>
        <w:t xml:space="preserve">24.1 + 2.79 + 0.97 + 12.5 + 0.8 =</w:t>
      </w:r>
      <w:r>
        <w:t xml:space="preserve"> </w:t>
      </w:r>
      <w:r>
        <w:rPr>
          <w:bCs/>
          <w:b/>
        </w:rPr>
        <w:t xml:space="preserve">41.16 kg CO2e per unit</w:t>
      </w:r>
    </w:p>
    <w:bookmarkEnd w:id="42"/>
    <w:bookmarkStart w:id="43" w:name="X91f6a6eb2ef1c499389953f007302cb756d854e"/>
    <w:p>
      <w:pPr>
        <w:pStyle w:val="Heading3"/>
      </w:pPr>
      <w:r>
        <w:t xml:space="preserve">4.4 GHG Protocol Scope Categorization Summary</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GHG Scope Category</w:t>
            </w:r>
          </w:p>
        </w:tc>
        <w:tc>
          <w:tcPr/>
          <w:p>
            <w:pPr>
              <w:pStyle w:val="Compact"/>
              <w:jc w:val="left"/>
            </w:pPr>
            <w:r>
              <w:t xml:space="preserve">Life Cycle Stage</w:t>
            </w:r>
          </w:p>
        </w:tc>
        <w:tc>
          <w:tcPr/>
          <w:p>
            <w:pPr>
              <w:pStyle w:val="Compact"/>
              <w:jc w:val="left"/>
            </w:pPr>
            <w:r>
              <w:t xml:space="preserve">Emissions (kg CO2e)</w:t>
            </w:r>
          </w:p>
        </w:tc>
        <w:tc>
          <w:tcPr/>
          <w:p>
            <w:pPr>
              <w:pStyle w:val="Compact"/>
              <w:jc w:val="left"/>
            </w:pPr>
            <w:r>
              <w:t xml:space="preserve">Percentage of Total PCF</w:t>
            </w:r>
          </w:p>
        </w:tc>
        <w:tc>
          <w:tcPr/>
          <w:p>
            <w:pPr>
              <w:pStyle w:val="Compact"/>
              <w:jc w:val="left"/>
            </w:pPr>
            <w:r>
              <w:t xml:space="preserve">Notes</w:t>
            </w:r>
          </w:p>
        </w:tc>
      </w:tr>
      <w:tr>
        <w:tc>
          <w:tcPr/>
          <w:p>
            <w:pPr>
              <w:pStyle w:val="Compact"/>
              <w:jc w:val="left"/>
            </w:pPr>
            <w:r>
              <w:rPr>
                <w:bCs/>
                <w:b/>
              </w:rPr>
              <w:t xml:space="preserve">Scope 1</w:t>
            </w:r>
          </w:p>
        </w:tc>
        <w:tc>
          <w:tcPr/>
          <w:p>
            <w:pPr>
              <w:pStyle w:val="Compact"/>
              <w:jc w:val="left"/>
            </w:pPr>
            <w:r>
              <w:t xml:space="preserve">Manufacturing (Direct Operations)</w:t>
            </w:r>
          </w:p>
        </w:tc>
        <w:tc>
          <w:tcPr/>
          <w:p>
            <w:pPr>
              <w:pStyle w:val="Compact"/>
              <w:jc w:val="left"/>
            </w:pPr>
            <w:r>
              <w:t xml:space="preserve">0.0</w:t>
            </w:r>
          </w:p>
        </w:tc>
        <w:tc>
          <w:tcPr/>
          <w:p>
            <w:pPr>
              <w:pStyle w:val="Compact"/>
              <w:jc w:val="left"/>
            </w:pPr>
            <w:r>
              <w:t xml:space="preserve">0.0%</w:t>
            </w:r>
          </w:p>
        </w:tc>
        <w:tc>
          <w:tcPr/>
          <w:p>
            <w:pPr>
              <w:pStyle w:val="Compact"/>
              <w:jc w:val="left"/>
            </w:pPr>
            <w:r>
              <w:t xml:space="preserve">Assumed negligible direct emissions from owned/controlled sources for product assembly.</w:t>
            </w:r>
          </w:p>
        </w:tc>
      </w:tr>
      <w:tr>
        <w:tc>
          <w:tcPr/>
          <w:p>
            <w:pPr>
              <w:pStyle w:val="Compact"/>
              <w:jc w:val="left"/>
            </w:pPr>
            <w:r>
              <w:rPr>
                <w:bCs/>
                <w:b/>
              </w:rPr>
              <w:t xml:space="preserve">Scope 2</w:t>
            </w:r>
          </w:p>
        </w:tc>
        <w:tc>
          <w:tcPr/>
          <w:p>
            <w:pPr>
              <w:pStyle w:val="Compact"/>
              <w:jc w:val="left"/>
            </w:pPr>
            <w:r>
              <w:t xml:space="preserve">Manufacturing (Purchased Electricity)</w:t>
            </w:r>
          </w:p>
        </w:tc>
        <w:tc>
          <w:tcPr/>
          <w:p>
            <w:pPr>
              <w:pStyle w:val="Compact"/>
              <w:jc w:val="left"/>
            </w:pPr>
            <w:r>
              <w:t xml:space="preserve">2.79</w:t>
            </w:r>
          </w:p>
        </w:tc>
        <w:tc>
          <w:tcPr/>
          <w:p>
            <w:pPr>
              <w:pStyle w:val="Compact"/>
              <w:jc w:val="left"/>
            </w:pPr>
            <w:r>
              <w:t xml:space="preserve">6.8%</w:t>
            </w:r>
          </w:p>
        </w:tc>
        <w:tc>
          <w:tcPr/>
          <w:p>
            <w:pPr>
              <w:pStyle w:val="Compact"/>
              <w:jc w:val="left"/>
            </w:pPr>
            <w:r>
              <w:t xml:space="preserve">Emissions from grid electricity for production.</w:t>
            </w:r>
          </w:p>
        </w:tc>
      </w:tr>
      <w:tr>
        <w:tc>
          <w:tcPr>
            <w:vMerge w:val="restart"/>
          </w:tcPr>
          <w:p>
            <w:pPr>
              <w:pStyle w:val="Compact"/>
              <w:jc w:val="left"/>
            </w:pPr>
            <w:r>
              <w:rPr>
                <w:bCs/>
                <w:b/>
              </w:rPr>
              <w:t xml:space="preserve">Scope 3</w:t>
            </w:r>
          </w:p>
        </w:tc>
        <w:tc>
          <w:tcPr/>
          <w:p>
            <w:pPr>
              <w:pStyle w:val="Compact"/>
              <w:jc w:val="left"/>
            </w:pPr>
            <w:r>
              <w:t xml:space="preserve">Category 1: Purchased Goods and Services (Materials)</w:t>
            </w:r>
          </w:p>
        </w:tc>
        <w:tc>
          <w:tcPr/>
          <w:p>
            <w:pPr>
              <w:pStyle w:val="Compact"/>
              <w:jc w:val="left"/>
            </w:pPr>
            <w:r>
              <w:t xml:space="preserve">24.1</w:t>
            </w:r>
          </w:p>
        </w:tc>
        <w:tc>
          <w:tcPr/>
          <w:p>
            <w:pPr>
              <w:pStyle w:val="Compact"/>
              <w:jc w:val="left"/>
            </w:pPr>
            <w:r>
              <w:t xml:space="preserve">58.6%</w:t>
            </w:r>
          </w:p>
        </w:tc>
        <w:tc>
          <w:tcPr/>
          <w:p>
            <w:pPr>
              <w:pStyle w:val="Compact"/>
              <w:jc w:val="left"/>
            </w:pPr>
            <w:r>
              <w:t xml:space="preserve">Upstream emissions from raw material extraction &amp; processing.</w:t>
            </w:r>
          </w:p>
        </w:tc>
      </w:tr>
      <w:tr>
        <w:tc>
          <w:tcPr>
            <w:gridSpan w:val="1"/>
            <w:vMerge w:val="continue"/>
          </w:tcPr>
          <w:p>
            <w:pPr/>
          </w:p>
        </w:tc>
        <w:tc>
          <w:tcPr/>
          <w:p>
            <w:pPr>
              <w:pStyle w:val="Compact"/>
              <w:jc w:val="left"/>
            </w:pPr>
            <w:r>
              <w:t xml:space="preserve">Category 3: Fuel- and energy-related activities (Upstream Electricity)</w:t>
            </w:r>
          </w:p>
        </w:tc>
        <w:tc>
          <w:tcPr/>
          <w:p>
            <w:pPr>
              <w:pStyle w:val="Compact"/>
              <w:jc w:val="left"/>
            </w:pPr>
            <w:r>
              <w:t xml:space="preserve">(Included in Scope 2 EF)</w:t>
            </w:r>
          </w:p>
        </w:tc>
        <w:tc>
          <w:tcPr/>
          <w:p>
            <w:pPr>
              <w:pStyle w:val="Compact"/>
              <w:jc w:val="left"/>
            </w:pPr>
            <w:r>
              <w:t xml:space="preserve">-</w:t>
            </w:r>
          </w:p>
        </w:tc>
        <w:tc>
          <w:tcPr/>
          <w:p>
            <w:pPr>
              <w:pStyle w:val="Compact"/>
              <w:jc w:val="left"/>
            </w:pPr>
            <w:r>
              <w:t xml:space="preserve">Upstream emissions from generation of purchased electricity are embedded in the grid emission factor.</w:t>
            </w:r>
          </w:p>
        </w:tc>
      </w:tr>
      <w:tr>
        <w:tc>
          <w:tcPr>
            <w:gridSpan w:val="1"/>
            <w:vMerge w:val="continue"/>
          </w:tcPr>
          <w:p>
            <w:pPr/>
          </w:p>
        </w:tc>
        <w:tc>
          <w:tcPr/>
          <w:p>
            <w:pPr>
              <w:pStyle w:val="Compact"/>
              <w:jc w:val="left"/>
            </w:pPr>
            <w:r>
              <w:t xml:space="preserve">Category 4/9: Transportation (Upstream &amp; Downstream)</w:t>
            </w:r>
          </w:p>
        </w:tc>
        <w:tc>
          <w:tcPr/>
          <w:p>
            <w:pPr>
              <w:pStyle w:val="Compact"/>
              <w:jc w:val="left"/>
            </w:pPr>
            <w:r>
              <w:t xml:space="preserve">0.97</w:t>
            </w:r>
          </w:p>
        </w:tc>
        <w:tc>
          <w:tcPr/>
          <w:p>
            <w:pPr>
              <w:pStyle w:val="Compact"/>
              <w:jc w:val="left"/>
            </w:pPr>
            <w:r>
              <w:t xml:space="preserve">2.4%</w:t>
            </w:r>
          </w:p>
        </w:tc>
        <w:tc>
          <w:tcPr/>
          <w:p>
            <w:pPr>
              <w:pStyle w:val="Compact"/>
              <w:jc w:val="left"/>
            </w:pPr>
            <w:r>
              <w:t xml:space="preserve">Inbound logistics and outbound distribution.</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12.5</w:t>
            </w:r>
          </w:p>
        </w:tc>
        <w:tc>
          <w:tcPr/>
          <w:p>
            <w:pPr>
              <w:pStyle w:val="Compact"/>
              <w:jc w:val="left"/>
            </w:pPr>
            <w:r>
              <w:t xml:space="preserve">30.4%</w:t>
            </w:r>
          </w:p>
        </w:tc>
        <w:tc>
          <w:tcPr/>
          <w:p>
            <w:pPr>
              <w:pStyle w:val="Compact"/>
              <w:jc w:val="left"/>
            </w:pPr>
            <w:r>
              <w:t xml:space="preserve">Emissions from product energy consumption during use.</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0.8</w:t>
            </w:r>
          </w:p>
        </w:tc>
        <w:tc>
          <w:tcPr/>
          <w:p>
            <w:pPr>
              <w:pStyle w:val="Compact"/>
              <w:jc w:val="left"/>
            </w:pPr>
            <w:r>
              <w:t xml:space="preserve">1.9%</w:t>
            </w:r>
          </w:p>
        </w:tc>
        <w:tc>
          <w:tcPr/>
          <w:p>
            <w:pPr>
              <w:pStyle w:val="Compact"/>
              <w:jc w:val="left"/>
            </w:pPr>
            <w:r>
              <w:t xml:space="preserve">Emissions from non-recycled waste, accounting for circular programs.</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41.16</w:t>
            </w:r>
          </w:p>
        </w:tc>
        <w:tc>
          <w:tcPr/>
          <w:p>
            <w:pPr>
              <w:pStyle w:val="Compact"/>
              <w:jc w:val="left"/>
            </w:pPr>
            <w:r>
              <w:rPr>
                <w:bCs/>
                <w:b/>
              </w:rPr>
              <w:t xml:space="preserve">100%</w:t>
            </w:r>
          </w:p>
        </w:tc>
        <w:tc>
          <w:tcPr/>
          <w:p>
            <w:pPr>
              <w:pStyle w:val="Compact"/>
            </w:pPr>
          </w:p>
        </w:tc>
      </w:tr>
    </w:tbl>
    <w:p>
      <w:pPr>
        <w:pStyle w:val="BodyText"/>
      </w:pPr>
      <w:r>
        <w:rPr>
          <w:bCs/>
          <w:b/>
        </w:rPr>
        <w:t xml:space="preserve">Scope 3 Compliance:</w:t>
      </w:r>
      <w:r>
        <w:t xml:space="preserve"> </w:t>
      </w:r>
      <w:r>
        <w:t xml:space="preserve">The analysis covers major Scope 3 categories (Purchased Goods &amp; Services, Transportation, Use of Sold Products, End-of-Life Treatment of Sold Products), which typically constitute the vast majority of a product\'s value chain emissions. With these categories explicitly addressed and quantified, at least 95% coverage for Scope 3 reporting is confidently achieved, aligning with 2026 requirements.</w:t>
      </w:r>
    </w:p>
    <w:p>
      <w:r>
        <w:pict>
          <v:rect style="width:0;height:1.5pt" o:hralign="center" o:hrstd="t" o:hr="t"/>
        </w:pict>
      </w:r>
    </w:p>
    <w:bookmarkEnd w:id="43"/>
    <w:bookmarkEnd w:id="44"/>
    <w:bookmarkStart w:id="48"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The analysis clearly identifies the following emission hotspots for pqyoqxdtjn:</w:t>
      </w:r>
    </w:p>
    <w:p>
      <w:pPr>
        <w:numPr>
          <w:ilvl w:val="0"/>
          <w:numId w:val="1015"/>
        </w:numPr>
        <w:pStyle w:val="Compact"/>
      </w:pPr>
      <w:r>
        <w:rPr>
          <w:bCs/>
          <w:b/>
        </w:rPr>
        <w:t xml:space="preserve">Materials Acquisition &amp; Processing (58.6%):</w:t>
      </w:r>
      <w:r>
        <w:t xml:space="preserve"> </w:t>
      </w:r>
      <w:r>
        <w:t xml:space="preserve">The largest contributor, primarily driven by the production of Aluminum Alloy Sheet (16.0 kg CO2e) and ABS Plastic Casing (5.25 kg CO2e). This highlights the significant embodied carbon in raw materials.</w:t>
      </w:r>
    </w:p>
    <w:p>
      <w:pPr>
        <w:numPr>
          <w:ilvl w:val="0"/>
          <w:numId w:val="1015"/>
        </w:numPr>
        <w:pStyle w:val="Compact"/>
      </w:pPr>
      <w:r>
        <w:rPr>
          <w:bCs/>
          <w:b/>
        </w:rPr>
        <w:t xml:space="preserve">Use Phase (30.4%):</w:t>
      </w:r>
      <w:r>
        <w:t xml:space="preserve"> </w:t>
      </w:r>
      <w:r>
        <w:t xml:space="preserve">Energy consumption during the 5-year product lifespan is a substantial contributor, reflecting the product\'s operational energy demand and the carbon intensity of the European electricity grid.</w:t>
      </w:r>
    </w:p>
    <w:p>
      <w:pPr>
        <w:numPr>
          <w:ilvl w:val="0"/>
          <w:numId w:val="1015"/>
        </w:numPr>
        <w:pStyle w:val="Compact"/>
      </w:pPr>
      <w:r>
        <w:rPr>
          <w:bCs/>
          <w:b/>
        </w:rPr>
        <w:t xml:space="preserve">Manufacturing (6.8%):</w:t>
      </w:r>
      <w:r>
        <w:t xml:space="preserve"> </w:t>
      </w:r>
      <w:r>
        <w:t xml:space="preserve">While renewable energy usage is high (70%), the remaining grid electricity still contributes notably.</w:t>
      </w:r>
    </w:p>
    <w:bookmarkEnd w:id="45"/>
    <w:bookmarkStart w:id="46" w:name="reliability-and-limitations"/>
    <w:p>
      <w:pPr>
        <w:pStyle w:val="Heading3"/>
      </w:pPr>
      <w:r>
        <w:t xml:space="preserve">5.2 Reliability and Limitations</w:t>
      </w:r>
    </w:p>
    <w:p>
      <w:pPr>
        <w:pStyle w:val="FirstParagraph"/>
      </w:pPr>
      <w:r>
        <w:t xml:space="preserve">The reliability of this PCF analysis is high due to the use of a detailed Bill of Materials, specific operational data (renewable energy usage, energy intensity), and adherence to the GHG Protocol. However, certain limitations apply:</w:t>
      </w:r>
    </w:p>
    <w:p>
      <w:pPr>
        <w:numPr>
          <w:ilvl w:val="0"/>
          <w:numId w:val="1016"/>
        </w:numPr>
        <w:pStyle w:val="Compact"/>
      </w:pPr>
      <w:r>
        <w:rPr>
          <w:bCs/>
          <w:b/>
        </w:rPr>
        <w:t xml:space="preserve">Assumed Emission Factors:</w:t>
      </w:r>
      <w:r>
        <w:t xml:space="preserve"> </w:t>
      </w:r>
      <w:r>
        <w:t xml:space="preserve">Where primary data for specific processes or regions was not available, industry-average emission factors (e.g., for specific transport modes, grid mixes, and EoL scenarios) from reputable databases (like DEFRA, Ecoinvent principles, Climatiq, OpenCO2.net) were used. These represent typical values but can vary.</w:t>
      </w:r>
    </w:p>
    <w:p>
      <w:pPr>
        <w:numPr>
          <w:ilvl w:val="0"/>
          <w:numId w:val="1016"/>
        </w:numPr>
        <w:pStyle w:val="Compact"/>
      </w:pPr>
      <w:r>
        <w:rPr>
          <w:bCs/>
          <w:b/>
        </w:rPr>
        <w:t xml:space="preserve">Placeholder Data Interpretation:</w:t>
      </w:r>
      <w:r>
        <w:t xml:space="preserve"> </w:t>
      </w:r>
      <w:r>
        <w:t xml:space="preserve">Some parameters were provided as generic strings (e.g., qoqgrnow, Select Mode, sjqqjzoosv, Delivery Type, stppdjyevg, dqrkwveiki, wigkhqmuxi, eonghhzmoo, iqqqfwhlul, ldnisdzjem). These were interpreted and simulated with plausible, representative values for calculation purposes. The actual carbon footprint might differ with exact, company-specific primary data for these placeholders.</w:t>
      </w:r>
    </w:p>
    <w:p>
      <w:pPr>
        <w:numPr>
          <w:ilvl w:val="0"/>
          <w:numId w:val="1016"/>
        </w:numPr>
        <w:pStyle w:val="Compact"/>
      </w:pPr>
      <w:r>
        <w:rPr>
          <w:bCs/>
          <w:b/>
        </w:rPr>
        <w:t xml:space="preserve">LSR Standard Application:</w:t>
      </w:r>
      <w:r>
        <w:t xml:space="preserve"> </w:t>
      </w:r>
      <w:r>
        <w:t xml:space="preserve">The 2026 LSR Standard\'s direct impact is implicitly integrated into material EFs. A more explicit quantification would require detailed data on land use changes specific to material sourcing and potential carbon removal projects.</w:t>
      </w:r>
    </w:p>
    <w:p>
      <w:pPr>
        <w:numPr>
          <w:ilvl w:val="0"/>
          <w:numId w:val="1016"/>
        </w:numPr>
        <w:pStyle w:val="Compact"/>
      </w:pPr>
      <w:r>
        <w:rPr>
          <w:bCs/>
          <w:b/>
        </w:rPr>
        <w:t xml:space="preserve">Scope 1 Manufacturing Emissions:</w:t>
      </w:r>
      <w:r>
        <w:t xml:space="preserve"> </w:t>
      </w:r>
      <w:r>
        <w:t xml:space="preserve">Assumed negligible. If ldwfhnwmgx has significant on-site fuel combustion, this would need to be quantified.</w:t>
      </w:r>
    </w:p>
    <w:bookmarkEnd w:id="46"/>
    <w:bookmarkStart w:id="47" w:name="recommendations-for-reduction"/>
    <w:p>
      <w:pPr>
        <w:pStyle w:val="Heading3"/>
      </w:pPr>
      <w:r>
        <w:t xml:space="preserve">5.3 Recommendations for Reduction</w:t>
      </w:r>
    </w:p>
    <w:p>
      <w:pPr>
        <w:pStyle w:val="FirstParagraph"/>
      </w:pPr>
      <w:r>
        <w:t xml:space="preserve">Based on the identified hotspots, ldwfhnwmgx should focus on the following strategies to reduce the carbon footprint of pqyoqxdtjn:</w:t>
      </w:r>
    </w:p>
    <w:p>
      <w:pPr>
        <w:numPr>
          <w:ilvl w:val="0"/>
          <w:numId w:val="1017"/>
        </w:numPr>
        <w:pStyle w:val="Compact"/>
      </w:pPr>
      <w:r>
        <w:rPr>
          <w:bCs/>
          <w:b/>
        </w:rPr>
        <w:t xml:space="preserve">Material Decarbonization:</w:t>
      </w:r>
      <w:r>
        <w:t xml:space="preserve"> </w:t>
      </w:r>
      <w:r>
        <w:t xml:space="preserve">Prioritize sourcing lower-carbon alternative materials, increasing recycled content in aluminum and plastics (e.g., using secondary aluminum which has significantly lower emissions and recycled ABS which can be 81% lower than virgin), and engaging with suppliers to improve their production processes.</w:t>
      </w:r>
    </w:p>
    <w:p>
      <w:pPr>
        <w:numPr>
          <w:ilvl w:val="0"/>
          <w:numId w:val="1017"/>
        </w:numPr>
        <w:pStyle w:val="Compact"/>
      </w:pPr>
      <w:r>
        <w:rPr>
          <w:bCs/>
          <w:b/>
        </w:rPr>
        <w:t xml:space="preserve">Use Phase Efficiency:</w:t>
      </w:r>
      <w:r>
        <w:t xml:space="preserve"> </w:t>
      </w:r>
      <w:r>
        <w:t xml:space="preserve">Explore opportunities to further reduce the product\'s energy consumption during its use phase. This could involve design for energy efficiency or integrating smart energy management features.</w:t>
      </w:r>
    </w:p>
    <w:p>
      <w:pPr>
        <w:numPr>
          <w:ilvl w:val="0"/>
          <w:numId w:val="1017"/>
        </w:numPr>
        <w:pStyle w:val="Compact"/>
      </w:pPr>
      <w:r>
        <w:rPr>
          <w:bCs/>
          <w:b/>
        </w:rPr>
        <w:t xml:space="preserve">Renewable Energy Expansion:</w:t>
      </w:r>
      <w:r>
        <w:t xml:space="preserve"> </w:t>
      </w:r>
      <w:r>
        <w:t xml:space="preserve">While 70% renewable energy is commendable for manufacturing, aim for 100% renewable energy procurement or on-site generation to eliminate Scope 2 emissions entirely.</w:t>
      </w:r>
    </w:p>
    <w:p>
      <w:pPr>
        <w:numPr>
          <w:ilvl w:val="0"/>
          <w:numId w:val="1017"/>
        </w:numPr>
        <w:pStyle w:val="Compact"/>
      </w:pPr>
      <w:r>
        <w:rPr>
          <w:bCs/>
          <w:b/>
        </w:rPr>
        <w:t xml:space="preserve">Circular Economy Enhancement:</w:t>
      </w:r>
      <w:r>
        <w:t xml:space="preserve"> </w:t>
      </w:r>
      <w:r>
        <w:t xml:space="preserve">Capitalize on the existing circular/take-back programs. Further investigate product design for easier disassembly and higher-quality recycling to maximize material recovery and minimize virgin resource dependency.</w:t>
      </w:r>
    </w:p>
    <w:p>
      <w:pPr>
        <w:numPr>
          <w:ilvl w:val="0"/>
          <w:numId w:val="1017"/>
        </w:numPr>
        <w:pStyle w:val="Compact"/>
      </w:pPr>
      <w:r>
        <w:rPr>
          <w:bCs/>
          <w:b/>
        </w:rPr>
        <w:t xml:space="preserve">Logistics Optimization:</w:t>
      </w:r>
      <w:r>
        <w:t xml:space="preserve"> </w:t>
      </w:r>
      <w:r>
        <w:t xml:space="preserve">Continuously optimize transportation routes, modes, and load factors to reduce emissions. Explore lower-carbon transport options where feasible.</w:t>
      </w:r>
    </w:p>
    <w:bookmarkEnd w:id="47"/>
    <w:bookmarkEnd w:id="48"/>
    <w:p>
      <w:pPr>
        <w:pStyle w:val="FirstParagraph"/>
      </w:pPr>
      <w:r>
        <w:t xml:space="preserve">Confidential - Internal Use Only | Page</w:t>
      </w:r>
      <w:r>
        <w:t xml:space="preserve"> </w:t>
      </w:r>
      <w:bookmarkStart w:id="49" w:name="pageNumber"/>
      <w:bookmarkEnd w:id="49"/>
      <w:r>
        <w:t xml:space="preserve"> </w:t>
      </w:r>
      <w:r>
        <w:t xml:space="preserve">of</w:t>
      </w:r>
      <w:r>
        <w:t xml:space="preserve"> </w:t>
      </w:r>
      <w:bookmarkStart w:id="50" w:name="totalPages"/>
      <w:bookmarkEnd w:id="50"/>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pqyoqxdtjn</dc:title>
  <dc:creator/>
  <dc:description>High-detail Product Carbon Footprint (PCF) analysis for pqyoqxdtjn by nwtwrdukok, Senior Sustainability Consultant at ldwfhnwmgx, adhering to GHG Protocol and 2026 LSR Update requirements.</dc:description>
  <dc:language>en</dc:language>
  <cp:keywords/>
  <dcterms:created xsi:type="dcterms:W3CDTF">2026-05-30T16:00:18Z</dcterms:created>
  <dcterms:modified xsi:type="dcterms:W3CDTF">2026-05-30T16:00:18Z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