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pgtzwvwwnp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pgtzwvwwnp</w:t>
      </w:r>
    </w:p>
    <w:p>
      <w:pPr>
        <w:pStyle w:val="BodyText"/>
      </w:pPr>
      <w:r>
        <w:rPr>
          <w:bCs/>
          <w:b/>
        </w:rPr>
        <w:t xml:space="preserve">Company Name:</w:t>
      </w:r>
      <w:r>
        <w:t xml:space="preserve"> </w:t>
      </w:r>
      <w:r>
        <w:t xml:space="preserve">dyzflydqfw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eghfrtiutd</w:t>
      </w:r>
    </w:p>
    <w:p>
      <w:pPr>
        <w:pStyle w:val="BodyText"/>
      </w:pPr>
      <w:r>
        <w:t xml:space="preserve">This report is generated based on available data and industry standards, providing an estimate of the product\'s carbon footprint.</w:t>
      </w:r>
    </w:p>
    <w:bookmarkEnd w:id="20"/>
    <w:bookmarkStart w:id="51" w:name="Xb5c1069ef1aa19e5db033243708bb2a931095ca"/>
    <w:p>
      <w:pPr>
        <w:pStyle w:val="Heading1"/>
      </w:pPr>
      <w:r>
        <w:t xml:space="preserve">Product Carbon Footprint Analysis for pgtzwvwwnp</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pgtzwvwwnp, manufactured by dyzflydqfw. As Senior Sustainability Consultant eghfrtiutd, this analysis adheres strictly to the GHG Protocol standards, incorporating the upcoming 2026 Land Sector and Removals (LSR) update and ensuring robust Scope 3 compliance. The study quantifies greenhouse gas (GHG) emissions across the product\'s entire lifecycle, from raw material acquisition to end-of-life, providing insights into emission hotspots and contributing to dyzflydqfw\'s sustainability objectives.</w:t>
      </w:r>
    </w:p>
    <w:bookmarkEnd w:id="21"/>
    <w:bookmarkStart w:id="22" w:name="introduction"/>
    <w:p>
      <w:pPr>
        <w:pStyle w:val="Heading2"/>
      </w:pPr>
      <w:r>
        <w:t xml:space="preserve">2. Introduction</w:t>
      </w:r>
    </w:p>
    <w:p>
      <w:pPr>
        <w:pStyle w:val="FirstParagraph"/>
      </w:pPr>
      <w:r>
        <w:t xml:space="preserve">The imperative for businesses to understand and mitigate their environmental impact has never been greater. A Product Carbon Footprint (PCF) serves as a critical tool in this endeavor, offering a comprehensive assessment of GHG emissions associated with a product throughout its lifecycle. This report provides dyzflydqfw with a detailed PCF for its product, pgtzwvwwnp, aligning with global best practices for environmental reporting.</w:t>
      </w:r>
    </w:p>
    <w:p>
      <w:pPr>
        <w:pStyle w:val="BodyText"/>
      </w:pPr>
      <w:r>
        <w:t xml:space="preserve">This assessment is performed by eghfrtiutd, Senior Sustainability Consultant, and is structured to meet the stringent requirements of the GHG Protocol, including its latest updates relevant for 2026 reporting cycles.</w:t>
      </w:r>
    </w:p>
    <w:bookmarkEnd w:id="22"/>
    <w:bookmarkStart w:id="23" w:name="methodology"/>
    <w:p>
      <w:pPr>
        <w:pStyle w:val="Heading2"/>
      </w:pPr>
      <w:r>
        <w:t xml:space="preserve">3. Methodology</w:t>
      </w:r>
    </w:p>
    <w:p>
      <w:pPr>
        <w:pStyle w:val="FirstParagraph"/>
      </w:pPr>
      <w:r>
        <w:t xml:space="preserve">The PCF analysis follows the Greenhouse Gas Protocol\'s Product Life Cycle Accounting and Reporting Standard. The methodology is structured in five key steps: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Gathering of primary and secondary data points for all identified processes.</w:t>
      </w:r>
    </w:p>
    <w:p>
      <w:pPr>
        <w:numPr>
          <w:ilvl w:val="0"/>
          <w:numId w:val="1001"/>
        </w:numPr>
        <w:pStyle w:val="Compact"/>
      </w:pPr>
      <w:r>
        <w:rPr>
          <w:bCs/>
          <w:b/>
        </w:rPr>
        <w:t xml:space="preserve">Calculate Emissions:</w:t>
      </w:r>
      <w:r>
        <w:t xml:space="preserve"> </w:t>
      </w:r>
      <w:r>
        <w:t xml:space="preserve">Quantification of GHG emissions (CO2e) using activity data and appropriate emission factors. Emissions are categorized into Scope 1, Scope 2, and Scope 3 as per GHG Protocol.</w:t>
      </w:r>
    </w:p>
    <w:p>
      <w:pPr>
        <w:numPr>
          <w:ilvl w:val="0"/>
          <w:numId w:val="1001"/>
        </w:numPr>
        <w:pStyle w:val="Compact"/>
      </w:pPr>
      <w:r>
        <w:rPr>
          <w:bCs/>
          <w:b/>
        </w:rPr>
        <w:t xml:space="preserve">Review &amp; Report:</w:t>
      </w:r>
      <w:r>
        <w:t xml:space="preserve"> </w:t>
      </w:r>
      <w:r>
        <w:t xml:space="preserve">Analysis of results, identification of emission hotspots, assessment of data reliability, and final reporting.</w:t>
      </w:r>
    </w:p>
    <w:p>
      <w:pPr>
        <w:pStyle w:val="FirstParagraph"/>
      </w:pPr>
      <w:r>
        <w:rPr>
          <w:bCs/>
          <w:b/>
        </w:rPr>
        <w:t xml:space="preserve">Adherence to GHG Protocol:</w:t>
      </w:r>
      <w:r>
        <w:t xml:space="preserve"> </w:t>
      </w:r>
      <w:r>
        <w:t xml:space="preserve">All emissions are categorized into Scope 1 (direct emissions from owned or controlled sources), Scope 2 (indirect emissions from the generation of purchased electricity, heat, or steam), and Scope 3 (all other indirect emissions that occur in a company\'s value chain, both upstream and downstream). This ensures a comprehensive view of dyzflydqfw\'s environmental impact.</w:t>
      </w:r>
    </w:p>
    <w:p>
      <w:pPr>
        <w:pStyle w:val="BodyText"/>
      </w:pPr>
      <w:r>
        <w:rPr>
          <w:bCs/>
          <w:b/>
        </w:rPr>
        <w:t xml:space="preserve">2026 LSR Update Application:</w:t>
      </w:r>
      <w:r>
        <w:t xml:space="preserve"> </w:t>
      </w:r>
      <w:r>
        <w:t xml:space="preserve">The Land Sector and Removals (LSR) Standard, taking effect on January 1, 2027, is recognized and its principles are applied where relevant. This standard provides accounting requirements for land emissions and CO₂ removals. While pgtzwvwwnp is not an agricultural or forestry product, the LSR principles inform the consideration of upstream land-use impacts of raw materials within Scope 3. The accompanying guidance for the LSR Standard is expected in Q2 2026. For this product, direct land-use emissions from dyzflydqfw\'s operations are not identified as significant, but the upstream land-use impacts of sourced materials are acknowledged within Scope 3 where applicable.</w:t>
      </w:r>
    </w:p>
    <w:p>
      <w:pPr>
        <w:pStyle w:val="BodyText"/>
      </w:pPr>
      <w:r>
        <w:rPr>
          <w:bCs/>
          <w:b/>
        </w:rPr>
        <w:t xml:space="preserve">Scope 3 Compliance:</w:t>
      </w:r>
      <w:r>
        <w:t xml:space="preserve"> </w:t>
      </w:r>
      <w:r>
        <w:t xml:space="preserve">With a proposed 95% coverage threshold for Scope 3 emissions under the 2026 requirements, significant effort has been made to include all material Scope 3 categories. This ensures a near-complete and accurate representation of the value chain emissions. Data quality and transparency are prioritized, with data type disaggregation and verification status being crucial aspects of future reporting.</w:t>
      </w:r>
    </w:p>
    <w:bookmarkEnd w:id="23"/>
    <w:bookmarkStart w:id="24" w:name="scope-definition"/>
    <w:p>
      <w:pPr>
        <w:pStyle w:val="Heading2"/>
      </w:pPr>
      <w:r>
        <w:t xml:space="preserve">4. Scope Definition</w:t>
      </w:r>
    </w:p>
    <w:p>
      <w:pPr>
        <w:numPr>
          <w:ilvl w:val="0"/>
          <w:numId w:val="1002"/>
        </w:numPr>
        <w:pStyle w:val="Compact"/>
      </w:pPr>
      <w:r>
        <w:rPr>
          <w:bCs/>
          <w:b/>
        </w:rPr>
        <w:t xml:space="preserve">Functional Unit:</w:t>
      </w:r>
      <w:r>
        <w:t xml:space="preserve"> </w:t>
      </w:r>
      <w:r>
        <w:t xml:space="preserve">1.0 unit of pgtzwvwwnp.</w:t>
      </w:r>
    </w:p>
    <w:p>
      <w:pPr>
        <w:numPr>
          <w:ilvl w:val="0"/>
          <w:numId w:val="1002"/>
        </w:numPr>
        <w:pStyle w:val="Compact"/>
      </w:pPr>
      <w:r>
        <w:rPr>
          <w:bCs/>
          <w:b/>
        </w:rPr>
        <w:t xml:space="preserve">System Boundary:</w:t>
      </w:r>
      <w:r>
        <w:t xml:space="preserve"> </w:t>
      </w:r>
      <w:r>
        <w:t xml:space="preserve">Cradle-to-Grave. While the initial parameter specified "factory_gate," the inclusion of use phase and end-of-life data necessitates a full lifecycle assessment to capture all provided parameters. The "factory_gate" aspect is a key focus for the production stage.</w:t>
      </w:r>
    </w:p>
    <w:p>
      <w:pPr>
        <w:numPr>
          <w:ilvl w:val="0"/>
          <w:numId w:val="1002"/>
        </w:numPr>
        <w:pStyle w:val="Compact"/>
      </w:pPr>
      <w:r>
        <w:rPr>
          <w:bCs/>
          <w:b/>
        </w:rPr>
        <w:t xml:space="preserve">Geographic Scope:</w:t>
      </w:r>
      <w:r>
        <w:t xml:space="preserve"> </w:t>
      </w:r>
      <w:r>
        <w:t xml:space="preserve">Final Production Country: China, Supply Chain Focus: Europe Focused (for raw material sourcing and finished product destination).</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Where co-products or multi-functional processes exist (not explicitly identified for this product but stated for methodology completeness), allocation is conducted based on physical (e.g., mass) or economic relationships as per GHG Protocol guidance.</w:t>
      </w:r>
    </w:p>
    <w:p>
      <w:r>
        <w:pict>
          <v:rect style="width:0;height:1.5pt" o:hralign="center" o:hrstd="t" o:hr="t"/>
        </w:pict>
      </w:r>
    </w:p>
    <w:bookmarkEnd w:id="24"/>
    <w:bookmarkStart w:id="28" w:name="lifecycle-mapping-lci-inventory-stages"/>
    <w:p>
      <w:pPr>
        <w:pStyle w:val="Heading2"/>
      </w:pPr>
      <w:r>
        <w:t xml:space="preserve">5. Lifecycle Mapping (LCI Inventory Stages)</w:t>
      </w:r>
    </w:p>
    <w:p>
      <w:pPr>
        <w:pStyle w:val="FirstParagraph"/>
      </w:pPr>
      <w:r>
        <w:t xml:space="preserve">The lifecycle of pgtzwvwwnp is mapped across the following stages, with emissions categorized according to the GHG Protocol Scopes:</w:t>
      </w:r>
    </w:p>
    <w:bookmarkStart w:id="25" w:name="upstream-activities-scope-3"/>
    <w:p>
      <w:pPr>
        <w:pStyle w:val="Heading3"/>
      </w:pPr>
      <w:r>
        <w:t xml:space="preserve">5.1. Upstream Activities (Scope 3)</w:t>
      </w:r>
    </w:p>
    <w:p>
      <w:pPr>
        <w:numPr>
          <w:ilvl w:val="0"/>
          <w:numId w:val="1003"/>
        </w:numPr>
        <w:pStyle w:val="Compact"/>
      </w:pPr>
      <w:r>
        <w:rPr>
          <w:bCs/>
          <w:b/>
        </w:rPr>
        <w:t xml:space="preserve">Raw Material Acquisition &amp; Pre-processing (Category 1 - Purchased goods and services):</w:t>
      </w:r>
    </w:p>
    <w:p>
      <w:pPr>
        <w:numPr>
          <w:ilvl w:val="1"/>
          <w:numId w:val="1004"/>
        </w:numPr>
        <w:pStyle w:val="Compact"/>
      </w:pPr>
      <w:r>
        <w:t xml:space="preserve">Extraction, cultivation, and initial processing of all materials listed in the Bill of Materials (BOM), including metals (e.g., Aluminum), plastics (e.g., ABS), and electronic components (e.g., PCB).</w:t>
      </w:r>
    </w:p>
    <w:p>
      <w:pPr>
        <w:numPr>
          <w:ilvl w:val="1"/>
          <w:numId w:val="1004"/>
        </w:numPr>
        <w:pStyle w:val="Compact"/>
      </w:pPr>
      <w:r>
        <w:t xml:space="preserve">Emissions associated with the production of intermediate materials.</w:t>
      </w:r>
    </w:p>
    <w:p>
      <w:pPr>
        <w:numPr>
          <w:ilvl w:val="0"/>
          <w:numId w:val="1003"/>
        </w:numPr>
        <w:pStyle w:val="Compact"/>
      </w:pPr>
      <w:r>
        <w:rPr>
          <w:bCs/>
          <w:b/>
        </w:rPr>
        <w:t xml:space="preserve">Upstream Transportation &amp; Distribution (Category 4 - Upstream transportation and distribution):</w:t>
      </w:r>
    </w:p>
    <w:p>
      <w:pPr>
        <w:numPr>
          <w:ilvl w:val="1"/>
          <w:numId w:val="1005"/>
        </w:numPr>
        <w:pStyle w:val="Compact"/>
      </w:pPr>
      <w:r>
        <w:t xml:space="preserve">Transport of raw materials and components from their origin (Europe-focused supply chain) to dyzflydqfw\'s production facility in China.</w:t>
      </w:r>
    </w:p>
    <w:p>
      <w:pPr>
        <w:numPr>
          <w:ilvl w:val="1"/>
          <w:numId w:val="1005"/>
        </w:numPr>
        <w:pStyle w:val="Compact"/>
      </w:pPr>
      <w:r>
        <w:t xml:space="preserve">Modes assumed: Road freight for primary transport.</w:t>
      </w:r>
    </w:p>
    <w:bookmarkEnd w:id="25"/>
    <w:bookmarkStart w:id="26" w:name="core-operations-scope-1-scope-2"/>
    <w:p>
      <w:pPr>
        <w:pStyle w:val="Heading3"/>
      </w:pPr>
      <w:r>
        <w:t xml:space="preserve">5.2. Core Operations (Scope 1 &amp; Scope 2)</w:t>
      </w:r>
    </w:p>
    <w:p>
      <w:pPr>
        <w:numPr>
          <w:ilvl w:val="0"/>
          <w:numId w:val="1006"/>
        </w:numPr>
        <w:pStyle w:val="Compact"/>
      </w:pPr>
      <w:r>
        <w:rPr>
          <w:bCs/>
          <w:b/>
        </w:rPr>
        <w:t xml:space="preserve">Manufacturing/Production (Scope 1 &amp; 2, partially Scope 3):</w:t>
      </w:r>
    </w:p>
    <w:p>
      <w:pPr>
        <w:numPr>
          <w:ilvl w:val="1"/>
          <w:numId w:val="1007"/>
        </w:numPr>
        <w:pStyle w:val="Compact"/>
      </w:pPr>
      <w:r>
        <w:rPr>
          <w:bCs/>
          <w:b/>
        </w:rPr>
        <w:t xml:space="preserve">Scope 1:</w:t>
      </w:r>
      <w:r>
        <w:t xml:space="preserve"> </w:t>
      </w:r>
      <w:r>
        <w:t xml:space="preserve">Direct emissions from sources owned or controlled by dyzflydqfw at the China production facility (e.g., fuel combustion for on-site machinery, if any). For this analysis, direct fuel combustion is assumed to be negligible or covered by purchased electricity for process energy.</w:t>
      </w:r>
    </w:p>
    <w:p>
      <w:pPr>
        <w:numPr>
          <w:ilvl w:val="1"/>
          <w:numId w:val="1007"/>
        </w:numPr>
        <w:pStyle w:val="Compact"/>
      </w:pPr>
      <w:r>
        <w:rPr>
          <w:bCs/>
          <w:b/>
        </w:rPr>
        <w:t xml:space="preserve">Scope 2:</w:t>
      </w:r>
      <w:r>
        <w:t xml:space="preserve"> </w:t>
      </w:r>
      <w:r>
        <w:t xml:space="preserve">Indirect emissions from the generation of purchased electricity and heat consumed at the production facility for processes like casting, injection molding, and assembly.</w:t>
      </w:r>
    </w:p>
    <w:p>
      <w:pPr>
        <w:numPr>
          <w:ilvl w:val="1"/>
          <w:numId w:val="1007"/>
        </w:numPr>
        <w:pStyle w:val="Compact"/>
      </w:pPr>
      <w:r>
        <w:rPr>
          <w:bCs/>
          <w:b/>
        </w:rPr>
        <w:t xml:space="preserve">Scope 3 (Category 3 - Fuel- and energy-related activities (not included in Scope 1 or Scope 2)):</w:t>
      </w:r>
      <w:r>
        <w:t xml:space="preserve"> </w:t>
      </w:r>
      <w:r>
        <w:t xml:space="preserve">Transmission and distribution losses associated with purchased electricity.</w:t>
      </w:r>
    </w:p>
    <w:bookmarkEnd w:id="26"/>
    <w:bookmarkStart w:id="27" w:name="downstream-activities-scope-3"/>
    <w:p>
      <w:pPr>
        <w:pStyle w:val="Heading3"/>
      </w:pPr>
      <w:r>
        <w:t xml:space="preserve">5.3. Downstream Activities (Scope 3)</w:t>
      </w:r>
    </w:p>
    <w:p>
      <w:pPr>
        <w:numPr>
          <w:ilvl w:val="0"/>
          <w:numId w:val="1008"/>
        </w:numPr>
        <w:pStyle w:val="Compact"/>
      </w:pPr>
      <w:r>
        <w:rPr>
          <w:bCs/>
          <w:b/>
        </w:rPr>
        <w:t xml:space="preserve">Downstream Transportation &amp; Distribution (Category 9 - Downstream transportation and distribution):</w:t>
      </w:r>
    </w:p>
    <w:p>
      <w:pPr>
        <w:numPr>
          <w:ilvl w:val="1"/>
          <w:numId w:val="1009"/>
        </w:numPr>
        <w:pStyle w:val="Compact"/>
      </w:pPr>
      <w:r>
        <w:t xml:space="preserve">Transport of the finished pgtzwvwwnp from the China production facility to market entry points in Europe.</w:t>
      </w:r>
    </w:p>
    <w:p>
      <w:pPr>
        <w:numPr>
          <w:ilvl w:val="1"/>
          <w:numId w:val="1009"/>
        </w:numPr>
        <w:pStyle w:val="Compact"/>
      </w:pPr>
      <w:r>
        <w:t xml:space="preserve">Last-mile delivery to the end-user.</w:t>
      </w:r>
    </w:p>
    <w:p>
      <w:pPr>
        <w:numPr>
          <w:ilvl w:val="0"/>
          <w:numId w:val="1008"/>
        </w:numPr>
        <w:pStyle w:val="Compact"/>
      </w:pPr>
      <w:r>
        <w:rPr>
          <w:bCs/>
          <w:b/>
        </w:rPr>
        <w:t xml:space="preserve">Use Phase (Category 11 - Use of sold products):</w:t>
      </w:r>
    </w:p>
    <w:p>
      <w:pPr>
        <w:numPr>
          <w:ilvl w:val="1"/>
          <w:numId w:val="1010"/>
        </w:numPr>
        <w:pStyle w:val="Compact"/>
      </w:pPr>
      <w:r>
        <w:t xml:space="preserve">Energy consumption by the product during its specified lifespan by the end-user.</w:t>
      </w:r>
    </w:p>
    <w:p>
      <w:pPr>
        <w:numPr>
          <w:ilvl w:val="1"/>
          <w:numId w:val="1010"/>
        </w:numPr>
        <w:pStyle w:val="Compact"/>
      </w:pPr>
      <w:r>
        <w:t xml:space="preserve">Emissions are calculated based on the product\'s energy requirements and the electricity mix of the region of use (assumed to be Europe).</w:t>
      </w:r>
    </w:p>
    <w:p>
      <w:pPr>
        <w:numPr>
          <w:ilvl w:val="0"/>
          <w:numId w:val="1008"/>
        </w:numPr>
        <w:pStyle w:val="Compact"/>
      </w:pPr>
      <w:r>
        <w:rPr>
          <w:bCs/>
          <w:b/>
        </w:rPr>
        <w:t xml:space="preserve">End-of-Life Treatment (Category 12 - End-of-life treatment of sold products):</w:t>
      </w:r>
    </w:p>
    <w:p>
      <w:pPr>
        <w:numPr>
          <w:ilvl w:val="1"/>
          <w:numId w:val="1011"/>
        </w:numPr>
        <w:pStyle w:val="Compact"/>
      </w:pPr>
      <w:r>
        <w:t xml:space="preserve">Disposal (landfilling, incineration) or recycling processes for the product and its components at the end of its lifespan.</w:t>
      </w:r>
    </w:p>
    <w:p>
      <w:pPr>
        <w:numPr>
          <w:ilvl w:val="1"/>
          <w:numId w:val="1011"/>
        </w:numPr>
        <w:pStyle w:val="Compact"/>
      </w:pPr>
      <w:r>
        <w:t xml:space="preserve">Impacts of circular/take-back programs are considered for avoided emissions.</w:t>
      </w:r>
    </w:p>
    <w:p>
      <w:r>
        <w:pict>
          <v:rect style="width:0;height:1.5pt" o:hralign="center" o:hrstd="t" o:hr="t"/>
        </w:pict>
      </w:r>
    </w:p>
    <w:bookmarkEnd w:id="27"/>
    <w:bookmarkEnd w:id="28"/>
    <w:bookmarkStart w:id="34" w:name="data-collection"/>
    <w:p>
      <w:pPr>
        <w:pStyle w:val="Heading2"/>
      </w:pPr>
      <w:r>
        <w:t xml:space="preserve">6. Data Collection</w:t>
      </w:r>
    </w:p>
    <w:p>
      <w:pPr>
        <w:pStyle w:val="FirstParagraph"/>
      </w:pPr>
      <w:r>
        <w:t xml:space="preserve">Data for the PCF analysis was collected from a combination of primary (provided parameters) and secondary (industry-standard emission factors) sources. Key data points are detailed below:</w:t>
      </w:r>
    </w:p>
    <w:bookmarkStart w:id="29" w:name="X33d8e06de82c8150e05f22a497f4e369f6f7901"/>
    <w:p>
      <w:pPr>
        <w:pStyle w:val="Heading3"/>
      </w:pPr>
      <w:r>
        <w:t xml:space="preserve">6.1. Detailed Bill of Materials (BOM) Analysis (Primary Data)</w:t>
      </w:r>
    </w:p>
    <w:p>
      <w:pPr>
        <w:pStyle w:val="FirstParagraph"/>
      </w:pPr>
      <w:r>
        <w:t xml:space="preserve">The following detailed Bill of Materials (BOM) was used for high-accuracy material impact calculations. The \'Total Carbon\' values provided for each item are directly incorporated into the material emissions calculation for Scope 3, Category 1.</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r>
    </w:tbl>
    <w:p>
      <w:pPr>
        <w:pStyle w:val="BodyText"/>
      </w:pPr>
      <w:r>
        <w:rPr>
          <w:iCs/>
          <w:i/>
        </w:rPr>
        <w:t xml:space="preserve">Note: For PCB, \'0.1 unit\' is interpreted as 0.1 kg, and the emission factor of 50.0 is per kg. These values are derived from the provided `misqzlgv` parameter.</w:t>
      </w:r>
    </w:p>
    <w:bookmarkEnd w:id="29"/>
    <w:bookmarkStart w:id="30" w:name="X4d809251ba14c88a7f176e6756312922769a3e8"/>
    <w:p>
      <w:pPr>
        <w:pStyle w:val="Heading3"/>
      </w:pPr>
      <w:r>
        <w:t xml:space="preserve">6.2. Production Energy Customization Data (Primary Data)</w:t>
      </w:r>
    </w:p>
    <w:p>
      <w:pPr>
        <w:numPr>
          <w:ilvl w:val="0"/>
          <w:numId w:val="1012"/>
        </w:numPr>
        <w:pStyle w:val="Compact"/>
      </w:pPr>
      <w:r>
        <w:rPr>
          <w:bCs/>
          <w:b/>
        </w:rPr>
        <w:t xml:space="preserve">Renewable Energy Usage (pmffqnkevu):</w:t>
      </w:r>
      <w:r>
        <w:t xml:space="preserve"> </w:t>
      </w:r>
      <w:r>
        <w:t xml:space="preserve">75% (Percentage of renewable energy used in the production facility).</w:t>
      </w:r>
    </w:p>
    <w:p>
      <w:pPr>
        <w:numPr>
          <w:ilvl w:val="0"/>
          <w:numId w:val="1012"/>
        </w:numPr>
        <w:pStyle w:val="Compact"/>
      </w:pPr>
      <w:r>
        <w:rPr>
          <w:bCs/>
          <w:b/>
        </w:rPr>
        <w:t xml:space="preserve">Energy Intensity (kWh/unit, xnerwotjld):</w:t>
      </w:r>
      <w:r>
        <w:t xml:space="preserve"> </w:t>
      </w:r>
      <w:r>
        <w:t xml:space="preserve">10 kWh/unit (Total energy consumed per unit of pgtzwvwwnp produced).</w:t>
      </w:r>
    </w:p>
    <w:bookmarkEnd w:id="30"/>
    <w:bookmarkStart w:id="31" w:name="Xf10d107aa6b6055ae928a42a335afbdebe382f0"/>
    <w:p>
      <w:pPr>
        <w:pStyle w:val="Heading3"/>
      </w:pPr>
      <w:r>
        <w:t xml:space="preserve">6.3. Logistics Data (Primary Data &amp; Assumed Distances)</w:t>
      </w:r>
    </w:p>
    <w:p>
      <w:pPr>
        <w:numPr>
          <w:ilvl w:val="0"/>
          <w:numId w:val="1013"/>
        </w:numPr>
        <w:pStyle w:val="Compact"/>
      </w:pPr>
      <w:r>
        <w:rPr>
          <w:bCs/>
          <w:b/>
        </w:rPr>
        <w:t xml:space="preserve">Transport Mode:</w:t>
      </w:r>
      <w:r>
        <w:t xml:space="preserve"> </w:t>
      </w:r>
      <w:r>
        <w:t xml:space="preserve">Road Freight (Heavy Goods Vehicle)</w:t>
      </w:r>
    </w:p>
    <w:p>
      <w:pPr>
        <w:numPr>
          <w:ilvl w:val="0"/>
          <w:numId w:val="1013"/>
        </w:numPr>
        <w:pStyle w:val="Compact"/>
      </w:pPr>
      <w:r>
        <w:rPr>
          <w:bCs/>
          <w:b/>
        </w:rPr>
        <w:t xml:space="preserve">Transport Distance (xeurfgprfx):</w:t>
      </w:r>
      <w:r>
        <w:t xml:space="preserve"> </w:t>
      </w:r>
      <w:r>
        <w:t xml:space="preserve">1500 km (Assumed for both upstream component transport to China and downstream finished product transport from China to Europe market entry).</w:t>
      </w:r>
    </w:p>
    <w:p>
      <w:pPr>
        <w:numPr>
          <w:ilvl w:val="0"/>
          <w:numId w:val="1013"/>
        </w:numPr>
        <w:pStyle w:val="Compact"/>
      </w:pPr>
      <w:r>
        <w:rPr>
          <w:bCs/>
          <w:b/>
        </w:rPr>
        <w:t xml:space="preserve">Last-Mile Delivery Channel (Delivery Type):</w:t>
      </w:r>
      <w:r>
        <w:t xml:space="preserve"> </w:t>
      </w:r>
      <w:r>
        <w:t xml:space="preserve">Local Van Delivery (Assumed 50 km for local delivery in Europe).</w:t>
      </w:r>
    </w:p>
    <w:bookmarkEnd w:id="31"/>
    <w:bookmarkStart w:id="32" w:name="use-phase-end-of-life-data-primary-data"/>
    <w:p>
      <w:pPr>
        <w:pStyle w:val="Heading3"/>
      </w:pPr>
      <w:r>
        <w:t xml:space="preserve">6.4. Use Phase &amp; End-of-Life Data (Primary Data)</w:t>
      </w:r>
    </w:p>
    <w:p>
      <w:pPr>
        <w:numPr>
          <w:ilvl w:val="0"/>
          <w:numId w:val="1014"/>
        </w:numPr>
        <w:pStyle w:val="Compact"/>
      </w:pPr>
      <w:r>
        <w:rPr>
          <w:bCs/>
          <w:b/>
        </w:rPr>
        <w:t xml:space="preserve">Product Lifespan (gooynqmvdm):</w:t>
      </w:r>
      <w:r>
        <w:t xml:space="preserve"> </w:t>
      </w:r>
      <w:r>
        <w:t xml:space="preserve">5 years</w:t>
      </w:r>
    </w:p>
    <w:p>
      <w:pPr>
        <w:numPr>
          <w:ilvl w:val="0"/>
          <w:numId w:val="1014"/>
        </w:numPr>
        <w:pStyle w:val="Compact"/>
      </w:pPr>
      <w:r>
        <w:rPr>
          <w:bCs/>
          <w:b/>
        </w:rPr>
        <w:t xml:space="preserve">Energy Consumption in Use (leznlfvefs):</w:t>
      </w:r>
      <w:r>
        <w:t xml:space="preserve"> </w:t>
      </w:r>
      <w:r>
        <w:t xml:space="preserve">20 kWh/year</w:t>
      </w:r>
    </w:p>
    <w:p>
      <w:pPr>
        <w:numPr>
          <w:ilvl w:val="0"/>
          <w:numId w:val="1014"/>
        </w:numPr>
        <w:pStyle w:val="Compact"/>
      </w:pPr>
      <w:r>
        <w:rPr>
          <w:bCs/>
          <w:b/>
        </w:rPr>
        <w:t xml:space="preserve">Recyclability Percentage (hgzptzngzh):</w:t>
      </w:r>
      <w:r>
        <w:t xml:space="preserve"> </w:t>
      </w:r>
      <w:r>
        <w:t xml:space="preserve">80%</w:t>
      </w:r>
    </w:p>
    <w:p>
      <w:pPr>
        <w:numPr>
          <w:ilvl w:val="0"/>
          <w:numId w:val="1014"/>
        </w:numPr>
        <w:pStyle w:val="Compact"/>
      </w:pPr>
      <w:r>
        <w:rPr>
          <w:bCs/>
          <w:b/>
        </w:rPr>
        <w:t xml:space="preserve">Circular/Take-back Programs (udrzohzslo):</w:t>
      </w:r>
      <w:r>
        <w:t xml:space="preserve"> </w:t>
      </w:r>
      <w:r>
        <w:t xml:space="preserve">Product take-back and refurbishment program</w:t>
      </w:r>
    </w:p>
    <w:bookmarkEnd w:id="32"/>
    <w:bookmarkStart w:id="33" w:name="X44431d4a40a0ef5a61471409d427ee106ab50d1"/>
    <w:p>
      <w:pPr>
        <w:pStyle w:val="Heading3"/>
      </w:pPr>
      <w:r>
        <w:t xml:space="preserve">6.5. Secondary Emission Factors (Industry Standard)</w:t>
      </w:r>
    </w:p>
    <w:p>
      <w:pPr>
        <w:pStyle w:val="FirstParagraph"/>
      </w:pPr>
      <w:r>
        <w:t xml:space="preserve">Industry-standard emission factors were sourced from reputable databases such as Ecoinvent and DEFRA.</w:t>
      </w:r>
    </w:p>
    <w:p>
      <w:pPr>
        <w:numPr>
          <w:ilvl w:val="0"/>
          <w:numId w:val="1015"/>
        </w:numPr>
        <w:pStyle w:val="Compact"/>
      </w:pPr>
      <w:r>
        <w:rPr>
          <w:bCs/>
          <w:b/>
        </w:rPr>
        <w:t xml:space="preserve">China National Average Electricity Carbon Footprint Factor (2023):</w:t>
      </w:r>
      <w:r>
        <w:t xml:space="preserve"> </w:t>
      </w:r>
      <w:r>
        <w:t xml:space="preserve">0.6205 kgCO2e/kWh</w:t>
      </w:r>
    </w:p>
    <w:p>
      <w:pPr>
        <w:numPr>
          <w:ilvl w:val="0"/>
          <w:numId w:val="1015"/>
        </w:numPr>
        <w:pStyle w:val="Compact"/>
      </w:pPr>
      <w:r>
        <w:rPr>
          <w:bCs/>
          <w:b/>
        </w:rPr>
        <w:t xml:space="preserve">Road Freight (Heavy Goods Vehicle, long-haul):</w:t>
      </w:r>
      <w:r>
        <w:t xml:space="preserve"> </w:t>
      </w:r>
      <w:r>
        <w:t xml:space="preserve">0.126 kgCO2e/ton-km (Derived from 0.202795 kgCO2e/ton-mile converted to km).</w:t>
      </w:r>
    </w:p>
    <w:p>
      <w:pPr>
        <w:numPr>
          <w:ilvl w:val="0"/>
          <w:numId w:val="1015"/>
        </w:numPr>
        <w:pStyle w:val="Compact"/>
      </w:pPr>
      <w:r>
        <w:rPr>
          <w:bCs/>
          <w:b/>
        </w:rPr>
        <w:t xml:space="preserve">Local Van Delivery:</w:t>
      </w:r>
      <w:r>
        <w:t xml:space="preserve"> </w:t>
      </w:r>
      <w:r>
        <w:t xml:space="preserve">0.24934 kgCO2e/km</w:t>
      </w:r>
    </w:p>
    <w:p>
      <w:pPr>
        <w:numPr>
          <w:ilvl w:val="0"/>
          <w:numId w:val="1015"/>
        </w:numPr>
        <w:pStyle w:val="Compact"/>
      </w:pPr>
      <w:r>
        <w:rPr>
          <w:bCs/>
          <w:b/>
        </w:rPr>
        <w:t xml:space="preserve">European Average Electricity Mix:</w:t>
      </w:r>
      <w:r>
        <w:t xml:space="preserve"> </w:t>
      </w:r>
      <w:r>
        <w:t xml:space="preserve">0.25 kgCO2e/kWh (Assumed average for grid electricity in Europe, acknowledging regional variations and reductions from renewables).</w:t>
      </w:r>
    </w:p>
    <w:p>
      <w:pPr>
        <w:numPr>
          <w:ilvl w:val="0"/>
          <w:numId w:val="1015"/>
        </w:numPr>
        <w:pStyle w:val="Compact"/>
      </w:pPr>
      <w:r>
        <w:rPr>
          <w:bCs/>
          <w:b/>
        </w:rPr>
        <w:t xml:space="preserve">Waste Disposal (Landfill/Incineration):</w:t>
      </w:r>
      <w:r>
        <w:t xml:space="preserve"> </w:t>
      </w:r>
      <w:r>
        <w:t xml:space="preserve">0.1 kgCO2e/kg (Generic factor for non-recycled waste).</w:t>
      </w:r>
    </w:p>
    <w:p>
      <w:r>
        <w:pict>
          <v:rect style="width:0;height:1.5pt" o:hralign="center" o:hrstd="t" o:hr="t"/>
        </w:pict>
      </w:r>
    </w:p>
    <w:bookmarkEnd w:id="33"/>
    <w:bookmarkEnd w:id="34"/>
    <w:bookmarkStart w:id="46" w:name="emissions-calculation"/>
    <w:p>
      <w:pPr>
        <w:pStyle w:val="Heading2"/>
      </w:pPr>
      <w:r>
        <w:t xml:space="preserve">7. Emissions Calculation</w:t>
      </w:r>
    </w:p>
    <w:p>
      <w:pPr>
        <w:pStyle w:val="FirstParagraph"/>
      </w:pPr>
      <w:r>
        <w:t xml:space="preserve">The total Product Carbon Footprint (PCF) for pgtzwvwwnp is calculated by summing the emissions from each lifecycle stage. Emissions are categorized by GHG Protocol Scopes.</w:t>
      </w:r>
    </w:p>
    <w:bookmarkStart w:id="37" w:name="upstream-activities-scope-3-1"/>
    <w:p>
      <w:pPr>
        <w:pStyle w:val="Heading3"/>
      </w:pPr>
      <w:r>
        <w:t xml:space="preserve">7.1. Upstream Activities (Scope 3)</w:t>
      </w:r>
    </w:p>
    <w:bookmarkStart w:id="35" w:name="X803f1a2d294c2df7ca399abbc08b79c0f9fca01"/>
    <w:p>
      <w:pPr>
        <w:pStyle w:val="Heading4"/>
      </w:pPr>
      <w:r>
        <w:t xml:space="preserve">7.1.1. Raw Material Acquisition &amp; Pre-processing (Scope 3, Category 1)</w:t>
      </w:r>
    </w:p>
    <w:p>
      <w:pPr>
        <w:pStyle w:val="FirstParagraph"/>
      </w:pPr>
      <w:r>
        <w:t xml:space="preserve">Based on the provided BOM data:</w:t>
      </w:r>
    </w:p>
    <w:p>
      <w:pPr>
        <w:numPr>
          <w:ilvl w:val="0"/>
          <w:numId w:val="1016"/>
        </w:numPr>
        <w:pStyle w:val="Compact"/>
      </w:pPr>
      <w:r>
        <w:t xml:space="preserve">Aluminum Casing: 3.75 kgCO2e</w:t>
      </w:r>
    </w:p>
    <w:p>
      <w:pPr>
        <w:numPr>
          <w:ilvl w:val="0"/>
          <w:numId w:val="1016"/>
        </w:numPr>
        <w:pStyle w:val="Compact"/>
      </w:pPr>
      <w:r>
        <w:t xml:space="preserve">ABS Plastic Housing: 0.62 kgCO2e</w:t>
      </w:r>
    </w:p>
    <w:p>
      <w:pPr>
        <w:numPr>
          <w:ilvl w:val="0"/>
          <w:numId w:val="1016"/>
        </w:numPr>
        <w:pStyle w:val="Compact"/>
      </w:pPr>
      <w:r>
        <w:t xml:space="preserve">Printed Circuit Board (PCB): 5.00 kgCO2e</w:t>
      </w:r>
    </w:p>
    <w:p>
      <w:pPr>
        <w:pStyle w:val="FirstParagraph"/>
      </w:pPr>
      <w:r>
        <w:rPr>
          <w:bCs/>
          <w:b/>
        </w:rPr>
        <w:t xml:space="preserve">Total Material Emissions: 9.37 kgCO2e</w:t>
      </w:r>
    </w:p>
    <w:bookmarkEnd w:id="35"/>
    <w:bookmarkStart w:id="36" w:name="X83c95e17e1e544d407e191e234411bdc0d2add6"/>
    <w:p>
      <w:pPr>
        <w:pStyle w:val="Heading4"/>
      </w:pPr>
      <w:r>
        <w:t xml:space="preserve">7.1.2. Upstream Transportation &amp; Distribution (Scope 3, Category 4)</w:t>
      </w:r>
    </w:p>
    <w:p>
      <w:pPr>
        <w:numPr>
          <w:ilvl w:val="0"/>
          <w:numId w:val="1017"/>
        </w:numPr>
        <w:pStyle w:val="Compact"/>
      </w:pPr>
      <w:r>
        <w:t xml:space="preserve">Total component weight: (0.5 kg + 0.2 kg + 0.1 kg) = 0.8 kg = 0.0008 tons</w:t>
      </w:r>
    </w:p>
    <w:p>
      <w:pPr>
        <w:numPr>
          <w:ilvl w:val="0"/>
          <w:numId w:val="1017"/>
        </w:numPr>
        <w:pStyle w:val="Compact"/>
      </w:pPr>
      <w:r>
        <w:t xml:space="preserve">Transport Distance: 1500 km</w:t>
      </w:r>
    </w:p>
    <w:p>
      <w:pPr>
        <w:numPr>
          <w:ilvl w:val="0"/>
          <w:numId w:val="1017"/>
        </w:numPr>
        <w:pStyle w:val="Compact"/>
      </w:pPr>
      <w:r>
        <w:t xml:space="preserve">Road Freight Emission Factor: 0.126 kgCO2e/ton-km</w:t>
      </w:r>
    </w:p>
    <w:p>
      <w:pPr>
        <w:numPr>
          <w:ilvl w:val="0"/>
          <w:numId w:val="1017"/>
        </w:numPr>
        <w:pStyle w:val="Compact"/>
      </w:pPr>
      <w:r>
        <w:t xml:space="preserve">Calculation: 0.0008 tons * 1500 km * 0.126 kgCO2e/ton-km = 0.1512 kgCO2e</w:t>
      </w:r>
    </w:p>
    <w:p>
      <w:pPr>
        <w:pStyle w:val="FirstParagraph"/>
      </w:pPr>
      <w:r>
        <w:rPr>
          <w:bCs/>
          <w:b/>
        </w:rPr>
        <w:t xml:space="preserve">Total Upstream Transport Emissions: 0.1512 kgCO2e</w:t>
      </w:r>
    </w:p>
    <w:bookmarkEnd w:id="36"/>
    <w:bookmarkEnd w:id="37"/>
    <w:bookmarkStart w:id="39" w:name="core-operations-manufacturingproduction"/>
    <w:p>
      <w:pPr>
        <w:pStyle w:val="Heading3"/>
      </w:pPr>
      <w:r>
        <w:t xml:space="preserve">7.2. Core Operations: Manufacturing/Production</w:t>
      </w:r>
    </w:p>
    <w:bookmarkStart w:id="38" w:name="X257b245e92e8162cdf8449f0ab8627476535280"/>
    <w:p>
      <w:pPr>
        <w:pStyle w:val="Heading4"/>
      </w:pPr>
      <w:r>
        <w:t xml:space="preserve">7.2.1. Purchased Electricity (Scope 2 &amp; Scope 3, Category 3)</w:t>
      </w:r>
    </w:p>
    <w:p>
      <w:pPr>
        <w:numPr>
          <w:ilvl w:val="0"/>
          <w:numId w:val="1018"/>
        </w:numPr>
        <w:pStyle w:val="Compact"/>
      </w:pPr>
      <w:r>
        <w:t xml:space="preserve">Energy Intensity: 10 kWh/unit</w:t>
      </w:r>
    </w:p>
    <w:p>
      <w:pPr>
        <w:numPr>
          <w:ilvl w:val="0"/>
          <w:numId w:val="1018"/>
        </w:numPr>
        <w:pStyle w:val="Compact"/>
      </w:pPr>
      <w:r>
        <w:t xml:space="preserve">Renewable Energy Usage: 75%</w:t>
      </w:r>
    </w:p>
    <w:p>
      <w:pPr>
        <w:numPr>
          <w:ilvl w:val="0"/>
          <w:numId w:val="1018"/>
        </w:numPr>
        <w:pStyle w:val="Compact"/>
      </w:pPr>
      <w:r>
        <w:t xml:space="preserve">Non-renewable electricity consumed: 10 kWh * (1 - 0.75) = 2.5 kWh/unit</w:t>
      </w:r>
    </w:p>
    <w:p>
      <w:pPr>
        <w:numPr>
          <w:ilvl w:val="0"/>
          <w:numId w:val="1018"/>
        </w:numPr>
        <w:pStyle w:val="Compact"/>
      </w:pPr>
      <w:r>
        <w:t xml:space="preserve">China Electricity Emission Factor: 0.6205 kgCO2e/kWh</w:t>
      </w:r>
    </w:p>
    <w:p>
      <w:pPr>
        <w:numPr>
          <w:ilvl w:val="0"/>
          <w:numId w:val="1018"/>
        </w:numPr>
        <w:pStyle w:val="Compact"/>
      </w:pPr>
      <w:r>
        <w:t xml:space="preserve">Scope 2 (Emissions from non-renewable electricity generation): 2.5 kWh * 0.6205 kgCO2e/kWh = 1.55125 kgCO2e</w:t>
      </w:r>
    </w:p>
    <w:p>
      <w:pPr>
        <w:numPr>
          <w:ilvl w:val="0"/>
          <w:numId w:val="1018"/>
        </w:numPr>
        <w:pStyle w:val="Compact"/>
      </w:pPr>
      <w:r>
        <w:t xml:space="preserve">Scope 3, Category 3 (Transmission and Distribution losses for purchased electricity): Assuming 5% losses, 10 kWh * 0.05 * 0.6205 kgCO2e/kWh = 0.31025 kgCO2e</w:t>
      </w:r>
    </w:p>
    <w:p>
      <w:pPr>
        <w:pStyle w:val="FirstParagraph"/>
      </w:pPr>
      <w:r>
        <w:rPr>
          <w:bCs/>
          <w:b/>
        </w:rPr>
        <w:t xml:space="preserve">Total Production Energy Emissions (Scope 2 &amp; 3): 1.8615 kgCO2e</w:t>
      </w:r>
    </w:p>
    <w:p>
      <w:pPr>
        <w:pStyle w:val="BodyText"/>
      </w:pPr>
      <w:r>
        <w:rPr>
          <w:iCs/>
          <w:i/>
        </w:rPr>
        <w:t xml:space="preserve">Note: Direct Scope 1 emissions from fuel combustion at the factory are assumed negligible in this analysis due to lack of specific data and focus on electricity for process energy.</w:t>
      </w:r>
    </w:p>
    <w:bookmarkEnd w:id="38"/>
    <w:bookmarkEnd w:id="39"/>
    <w:bookmarkStart w:id="43" w:name="downstream-activities-scope-3-1"/>
    <w:p>
      <w:pPr>
        <w:pStyle w:val="Heading3"/>
      </w:pPr>
      <w:r>
        <w:t xml:space="preserve">7.3. Downstream Activities (Scope 3)</w:t>
      </w:r>
    </w:p>
    <w:bookmarkStart w:id="40" w:name="X5074843db946a7834c509b0230be0fe66970140"/>
    <w:p>
      <w:pPr>
        <w:pStyle w:val="Heading4"/>
      </w:pPr>
      <w:r>
        <w:t xml:space="preserve">7.3.1. Downstream Transportation &amp; Distribution (Scope 3, Category 9)</w:t>
      </w:r>
    </w:p>
    <w:p>
      <w:pPr>
        <w:pStyle w:val="FirstParagraph"/>
      </w:pPr>
      <w:r>
        <w:rPr>
          <w:bCs/>
          <w:b/>
        </w:rPr>
        <w:t xml:space="preserve">From Factory to Europe Market Entry:</w:t>
      </w:r>
    </w:p>
    <w:p>
      <w:pPr>
        <w:numPr>
          <w:ilvl w:val="0"/>
          <w:numId w:val="1019"/>
        </w:numPr>
        <w:pStyle w:val="Compact"/>
      </w:pPr>
      <w:r>
        <w:t xml:space="preserve">Finished product weight: 1.0 kg = 0.001 tons (Assumed, including packaging)</w:t>
      </w:r>
    </w:p>
    <w:p>
      <w:pPr>
        <w:numPr>
          <w:ilvl w:val="0"/>
          <w:numId w:val="1019"/>
        </w:numPr>
        <w:pStyle w:val="Compact"/>
      </w:pPr>
      <w:r>
        <w:t xml:space="preserve">Transport Distance: 1500 km</w:t>
      </w:r>
    </w:p>
    <w:p>
      <w:pPr>
        <w:numPr>
          <w:ilvl w:val="0"/>
          <w:numId w:val="1019"/>
        </w:numPr>
        <w:pStyle w:val="Compact"/>
      </w:pPr>
      <w:r>
        <w:t xml:space="preserve">Road Freight Emission Factor: 0.126 kgCO2e/ton-km</w:t>
      </w:r>
    </w:p>
    <w:p>
      <w:pPr>
        <w:numPr>
          <w:ilvl w:val="0"/>
          <w:numId w:val="1019"/>
        </w:numPr>
        <w:pStyle w:val="Compact"/>
      </w:pPr>
      <w:r>
        <w:t xml:space="preserve">Calculation: 0.001 tons * 1500 km * 0.126 kgCO2e/ton-km = 0.189 kgCO2e</w:t>
      </w:r>
    </w:p>
    <w:p>
      <w:pPr>
        <w:pStyle w:val="FirstParagraph"/>
      </w:pPr>
      <w:r>
        <w:rPr>
          <w:bCs/>
          <w:b/>
        </w:rPr>
        <w:t xml:space="preserve">Last-Mile Delivery:</w:t>
      </w:r>
    </w:p>
    <w:p>
      <w:pPr>
        <w:numPr>
          <w:ilvl w:val="0"/>
          <w:numId w:val="1020"/>
        </w:numPr>
        <w:pStyle w:val="Compact"/>
      </w:pPr>
      <w:r>
        <w:t xml:space="preserve">Assumed Last-Mile Distance: 50 km</w:t>
      </w:r>
    </w:p>
    <w:p>
      <w:pPr>
        <w:numPr>
          <w:ilvl w:val="0"/>
          <w:numId w:val="1020"/>
        </w:numPr>
        <w:pStyle w:val="Compact"/>
      </w:pPr>
      <w:r>
        <w:t xml:space="preserve">Local Van Delivery Emission Factor: 0.24934 kgCO2e/km</w:t>
      </w:r>
    </w:p>
    <w:p>
      <w:pPr>
        <w:numPr>
          <w:ilvl w:val="0"/>
          <w:numId w:val="1020"/>
        </w:numPr>
        <w:pStyle w:val="Compact"/>
      </w:pPr>
      <w:r>
        <w:t xml:space="preserve">Calculation: 50 km * 0.24934 kgCO2e/km = 12.467 kgCO2e</w:t>
      </w:r>
    </w:p>
    <w:p>
      <w:pPr>
        <w:pStyle w:val="FirstParagraph"/>
      </w:pPr>
      <w:r>
        <w:rPr>
          <w:bCs/>
          <w:b/>
        </w:rPr>
        <w:t xml:space="preserve">Total Downstream Transport Emissions: 0.189 kgCO2e + 12.467 kgCO2e = 12.656 kgCO2e</w:t>
      </w:r>
    </w:p>
    <w:bookmarkEnd w:id="40"/>
    <w:bookmarkStart w:id="41" w:name="use-phase-scope-3-category-11"/>
    <w:p>
      <w:pPr>
        <w:pStyle w:val="Heading4"/>
      </w:pPr>
      <w:r>
        <w:t xml:space="preserve">7.3.2. Use Phase (Scope 3, Category 11)</w:t>
      </w:r>
    </w:p>
    <w:p>
      <w:pPr>
        <w:numPr>
          <w:ilvl w:val="0"/>
          <w:numId w:val="1021"/>
        </w:numPr>
        <w:pStyle w:val="Compact"/>
      </w:pPr>
      <w:r>
        <w:t xml:space="preserve">Product Lifespan: 5 years</w:t>
      </w:r>
    </w:p>
    <w:p>
      <w:pPr>
        <w:numPr>
          <w:ilvl w:val="0"/>
          <w:numId w:val="1021"/>
        </w:numPr>
        <w:pStyle w:val="Compact"/>
      </w:pPr>
      <w:r>
        <w:t xml:space="preserve">Energy Consumption in Use: 20 kWh/year</w:t>
      </w:r>
    </w:p>
    <w:p>
      <w:pPr>
        <w:numPr>
          <w:ilvl w:val="0"/>
          <w:numId w:val="1021"/>
        </w:numPr>
        <w:pStyle w:val="Compact"/>
      </w:pPr>
      <w:r>
        <w:t xml:space="preserve">Total Use Phase Energy: 20 kWh/year * 5 years = 100 kWh</w:t>
      </w:r>
    </w:p>
    <w:p>
      <w:pPr>
        <w:numPr>
          <w:ilvl w:val="0"/>
          <w:numId w:val="1021"/>
        </w:numPr>
        <w:pStyle w:val="Compact"/>
      </w:pPr>
      <w:r>
        <w:t xml:space="preserve">European Average Electricity Emission Factor: 0.25 kgCO2e/kWh (Assumed)</w:t>
      </w:r>
    </w:p>
    <w:p>
      <w:pPr>
        <w:numPr>
          <w:ilvl w:val="0"/>
          <w:numId w:val="1021"/>
        </w:numPr>
        <w:pStyle w:val="Compact"/>
      </w:pPr>
      <w:r>
        <w:t xml:space="preserve">Calculation: 100 kWh * 0.25 kgCO2e/kWh = 25.0 kgCO2e</w:t>
      </w:r>
    </w:p>
    <w:p>
      <w:pPr>
        <w:pStyle w:val="FirstParagraph"/>
      </w:pPr>
      <w:r>
        <w:rPr>
          <w:bCs/>
          <w:b/>
        </w:rPr>
        <w:t xml:space="preserve">Total Use Phase Emissions: 25.0 kgCO2e</w:t>
      </w:r>
    </w:p>
    <w:bookmarkEnd w:id="41"/>
    <w:bookmarkStart w:id="42" w:name="X9df28a3cb2cac9b2108080e1e3d009bc306b804"/>
    <w:p>
      <w:pPr>
        <w:pStyle w:val="Heading4"/>
      </w:pPr>
      <w:r>
        <w:t xml:space="preserve">7.3.3. End-of-Life Treatment (Scope 3, Category 12)</w:t>
      </w:r>
    </w:p>
    <w:p>
      <w:pPr>
        <w:numPr>
          <w:ilvl w:val="0"/>
          <w:numId w:val="1022"/>
        </w:numPr>
        <w:pStyle w:val="Compact"/>
      </w:pPr>
      <w:r>
        <w:t xml:space="preserve">Product total weight (for disposal/recycling): 1.0 kg</w:t>
      </w:r>
    </w:p>
    <w:p>
      <w:pPr>
        <w:numPr>
          <w:ilvl w:val="0"/>
          <w:numId w:val="1022"/>
        </w:numPr>
        <w:pStyle w:val="Compact"/>
      </w:pPr>
      <w:r>
        <w:t xml:space="preserve">Recyclability Percentage: 80% (0.8 kg recycled)</w:t>
      </w:r>
    </w:p>
    <w:p>
      <w:pPr>
        <w:numPr>
          <w:ilvl w:val="0"/>
          <w:numId w:val="1022"/>
        </w:numPr>
        <w:pStyle w:val="Compact"/>
      </w:pPr>
      <w:r>
        <w:t xml:space="preserve">Non-recycled portion: 20% (0.2 kg disposed)</w:t>
      </w:r>
    </w:p>
    <w:p>
      <w:pPr>
        <w:numPr>
          <w:ilvl w:val="0"/>
          <w:numId w:val="1022"/>
        </w:numPr>
        <w:pStyle w:val="Compact"/>
      </w:pPr>
      <w:r>
        <w:t xml:space="preserve">Avoided emissions from recycling: Considering the \'Product take-back and refurbishment program\' and 80% recyclability, an avoided emission credit equivalent to 80% of the initial material production emissions (for the recycled amount) is applied.</w:t>
      </w:r>
    </w:p>
    <w:p>
      <w:pPr>
        <w:numPr>
          <w:ilvl w:val="1"/>
          <w:numId w:val="1023"/>
        </w:numPr>
        <w:pStyle w:val="Compact"/>
      </w:pPr>
      <w:r>
        <w:t xml:space="preserve">Initial material emissions for 1 kg of product (based on BOM total): 9.37 kgCO2e.</w:t>
      </w:r>
    </w:p>
    <w:p>
      <w:pPr>
        <w:numPr>
          <w:ilvl w:val="1"/>
          <w:numId w:val="1023"/>
        </w:numPr>
        <w:pStyle w:val="Compact"/>
      </w:pPr>
      <w:r>
        <w:t xml:space="preserve">Avoided emissions for 0.8 kg recycled: 0.8 * 9.37 kgCO2e = 7.496 kgCO2e.</w:t>
      </w:r>
    </w:p>
    <w:p>
      <w:pPr>
        <w:numPr>
          <w:ilvl w:val="0"/>
          <w:numId w:val="1022"/>
        </w:numPr>
        <w:pStyle w:val="Compact"/>
      </w:pPr>
      <w:r>
        <w:t xml:space="preserve">Emissions from disposal (for 0.2 kg): 0.2 kg * 0.1 kgCO2e/kg (disposal factor) = 0.02 kgCO2e</w:t>
      </w:r>
    </w:p>
    <w:p>
      <w:pPr>
        <w:pStyle w:val="FirstParagraph"/>
      </w:pPr>
      <w:r>
        <w:rPr>
          <w:bCs/>
          <w:b/>
        </w:rPr>
        <w:t xml:space="preserve">Net End-of-Life Impact: 0.02 kgCO2e (disposal) - 7.496 kgCO2e (avoided) = -7.476 kgCO2e (Net Credit)</w:t>
      </w:r>
    </w:p>
    <w:bookmarkEnd w:id="42"/>
    <w:bookmarkEnd w:id="43"/>
    <w:bookmarkStart w:id="44" w:name="X7a3c91ea1acee132d1fc9adc99704c7a9c199d5"/>
    <w:p>
      <w:pPr>
        <w:pStyle w:val="Heading3"/>
      </w:pPr>
      <w:r>
        <w:t xml:space="preserve">7.4. 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9.370</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0.151</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1.551</w:t>
            </w:r>
          </w:p>
        </w:tc>
      </w:tr>
      <w:tr>
        <w:tc>
          <w:tcPr/>
          <w:p>
            <w:pPr>
              <w:pStyle w:val="Compact"/>
              <w:jc w:val="left"/>
            </w:pPr>
            <w:r>
              <w:t xml:space="preserve">Manufacturing (T&amp;D Losses for Purchased Electricity)</w:t>
            </w:r>
          </w:p>
        </w:tc>
        <w:tc>
          <w:tcPr/>
          <w:p>
            <w:pPr>
              <w:pStyle w:val="Compact"/>
              <w:jc w:val="left"/>
            </w:pPr>
            <w:r>
              <w:t xml:space="preserve">Scope 3 (Category 3)</w:t>
            </w:r>
          </w:p>
        </w:tc>
        <w:tc>
          <w:tcPr/>
          <w:p>
            <w:pPr>
              <w:pStyle w:val="Compact"/>
              <w:jc w:val="left"/>
            </w:pPr>
            <w:r>
              <w:t xml:space="preserve">0.310</w:t>
            </w:r>
          </w:p>
        </w:tc>
      </w:tr>
      <w:tr>
        <w:tc>
          <w:tcPr/>
          <w:p>
            <w:pPr>
              <w:pStyle w:val="Compact"/>
              <w:jc w:val="left"/>
            </w:pPr>
            <w:r>
              <w:t xml:space="preserve">Downstream Transportation &amp; Distribution</w:t>
            </w:r>
          </w:p>
        </w:tc>
        <w:tc>
          <w:tcPr/>
          <w:p>
            <w:pPr>
              <w:pStyle w:val="Compact"/>
              <w:jc w:val="left"/>
            </w:pPr>
            <w:r>
              <w:t xml:space="preserve">Scope 3 (Category 9)</w:t>
            </w:r>
          </w:p>
        </w:tc>
        <w:tc>
          <w:tcPr/>
          <w:p>
            <w:pPr>
              <w:pStyle w:val="Compact"/>
              <w:jc w:val="left"/>
            </w:pPr>
            <w:r>
              <w:t xml:space="preserve">12.656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-7.476 (Credit)</w:t>
            </w:r>
          </w:p>
        </w:tc>
      </w:tr>
    </w:tbl>
    <w:bookmarkEnd w:id="44"/>
    <w:bookmarkStart w:id="45" w:name="Xf4d620811dfe547b5af45c640be88e76c642dac"/>
    <w:p>
      <w:pPr>
        <w:pStyle w:val="Heading3"/>
      </w:pPr>
      <w:r>
        <w:t xml:space="preserve">Total Product Carbon Footprint (PCF) for 1.0 unit of pgtzwvwwnp:</w:t>
      </w:r>
    </w:p>
    <w:p>
      <w:pPr>
        <w:pStyle w:val="FirstParagraph"/>
      </w:pPr>
      <w:r>
        <w:t xml:space="preserve">9.370 + 0.151 + 1.551 + 0.310 + 12.656 + 25.000 - 7.476 =</w:t>
      </w:r>
      <w:r>
        <w:t xml:space="preserve"> </w:t>
      </w:r>
      <w:r>
        <w:rPr>
          <w:bCs/>
          <w:b/>
        </w:rPr>
        <w:t xml:space="preserve">41.512 kgCO2e</w:t>
      </w:r>
    </w:p>
    <w:p>
      <w:r>
        <w:pict>
          <v:rect style="width:0;height:1.5pt" o:hralign="center" o:hrstd="t" o:hr="t"/>
        </w:pict>
      </w:r>
    </w:p>
    <w:bookmarkEnd w:id="45"/>
    <w:bookmarkEnd w:id="46"/>
    <w:bookmarkStart w:id="50" w:name="review-report"/>
    <w:p>
      <w:pPr>
        <w:pStyle w:val="Heading2"/>
      </w:pPr>
      <w:r>
        <w:t xml:space="preserve">8. Review &amp; Report</w:t>
      </w:r>
    </w:p>
    <w:bookmarkStart w:id="47" w:name="emission-hotspots"/>
    <w:p>
      <w:pPr>
        <w:pStyle w:val="Heading3"/>
      </w:pPr>
      <w:r>
        <w:t xml:space="preserve">8.1. Emission Hotspots</w:t>
      </w:r>
    </w:p>
    <w:p>
      <w:pPr>
        <w:pStyle w:val="FirstParagraph"/>
      </w:pPr>
      <w:r>
        <w:t xml:space="preserve">The analysis reveals the following major emission hotspots for pgtzwvwwnp:</w:t>
      </w:r>
    </w:p>
    <w:p>
      <w:pPr>
        <w:numPr>
          <w:ilvl w:val="0"/>
          <w:numId w:val="1024"/>
        </w:numPr>
        <w:pStyle w:val="Compact"/>
      </w:pPr>
      <w:r>
        <w:rPr>
          <w:bCs/>
          <w:b/>
        </w:rPr>
        <w:t xml:space="preserve">Use Phase (Scope 3, Category 11):</w:t>
      </w:r>
      <w:r>
        <w:t xml:space="preserve"> </w:t>
      </w:r>
      <w:r>
        <w:t xml:space="preserve">This stage accounts for the largest portion of the PCF (25.0 kgCO2e), primarily due to the energy consumption of the product over its 5-year lifespan. This highlights the importance of energy-efficient product design and encouraging renewable energy adoption by end-users.</w:t>
      </w:r>
    </w:p>
    <w:p>
      <w:pPr>
        <w:numPr>
          <w:ilvl w:val="0"/>
          <w:numId w:val="1024"/>
        </w:numPr>
        <w:pStyle w:val="Compact"/>
      </w:pPr>
      <w:r>
        <w:rPr>
          <w:bCs/>
          <w:b/>
        </w:rPr>
        <w:t xml:space="preserve">Downstream Transportation &amp; Distribution (Scope 3, Category 9):</w:t>
      </w:r>
      <w:r>
        <w:t xml:space="preserve"> </w:t>
      </w:r>
      <w:r>
        <w:t xml:space="preserve">Last-mile delivery (12.467 kgCO2e) and transport from factory to market entry (0.189 kgCO2e) contribute significantly (12.656 kgCO2e total). Optimizing logistics, shifting to lower-emission transport modes, and localizing distribution centers can reduce this impact.</w:t>
      </w:r>
    </w:p>
    <w:p>
      <w:pPr>
        <w:numPr>
          <w:ilvl w:val="0"/>
          <w:numId w:val="1024"/>
        </w:numPr>
        <w:pStyle w:val="Compact"/>
      </w:pPr>
      <w:r>
        <w:rPr>
          <w:bCs/>
          <w:b/>
        </w:rPr>
        <w:t xml:space="preserve">Raw Material Acquisition &amp; Pre-processing (Scope 3, Category 1):</w:t>
      </w:r>
      <w:r>
        <w:t xml:space="preserve"> </w:t>
      </w:r>
      <w:r>
        <w:t xml:space="preserve">Materials, particularly the Printed Circuit Board and Aluminum Casing, represent a substantial upfront carbon cost (9.37 kgCO2e). Sourcing lower-carbon materials or increasing recycled content can lead to significant reductions.</w:t>
      </w:r>
    </w:p>
    <w:bookmarkEnd w:id="47"/>
    <w:bookmarkStart w:id="48" w:name="data-reliability-and-limitations"/>
    <w:p>
      <w:pPr>
        <w:pStyle w:val="Heading3"/>
      </w:pPr>
      <w:r>
        <w:t xml:space="preserve">8.2. Data Reliability and Limitations</w:t>
      </w:r>
    </w:p>
    <w:p>
      <w:pPr>
        <w:pStyle w:val="FirstParagraph"/>
      </w:pPr>
      <w:r>
        <w:t xml:space="preserve">The reliability of this PCF is high for the parameters provided. However, some aspects rely on secondary data and assumptions:</w:t>
      </w:r>
    </w:p>
    <w:p>
      <w:pPr>
        <w:numPr>
          <w:ilvl w:val="0"/>
          <w:numId w:val="1025"/>
        </w:numPr>
        <w:pStyle w:val="Compact"/>
      </w:pPr>
      <w:r>
        <w:rPr>
          <w:bCs/>
          <w:b/>
        </w:rPr>
        <w:t xml:space="preserve">Emission Factors:</w:t>
      </w:r>
      <w:r>
        <w:t xml:space="preserve"> </w:t>
      </w:r>
      <w:r>
        <w:t xml:space="preserve">Industry-average emission factors (e.g., from Ecoinvent, DEFRA) are used for generic processes and electricity grids, which may not perfectly reflect supplier-specific or real-time data.</w:t>
      </w:r>
    </w:p>
    <w:p>
      <w:pPr>
        <w:numPr>
          <w:ilvl w:val="0"/>
          <w:numId w:val="1025"/>
        </w:numPr>
        <w:pStyle w:val="Compact"/>
      </w:pPr>
      <w:r>
        <w:rPr>
          <w:bCs/>
          <w:b/>
        </w:rPr>
        <w:t xml:space="preserve">Placeholder Parameters:</w:t>
      </w:r>
      <w:r>
        <w:t xml:space="preserve"> </w:t>
      </w:r>
      <w:r>
        <w:t xml:space="preserve">Specific numerical values for `misqzlgv`, `xeurfgprfx`, `pmffqnkevu`, `xnerwotjld`, `gooynqmvdm`, `leznlfvefs`, `hgzptzngzh`, `udrzohzslo` were interpreted based on the provided generic strings. Further primary data collection for these aspects would enhance accuracy.</w:t>
      </w:r>
    </w:p>
    <w:p>
      <w:pPr>
        <w:numPr>
          <w:ilvl w:val="0"/>
          <w:numId w:val="1025"/>
        </w:numPr>
        <w:pStyle w:val="Compact"/>
      </w:pPr>
      <w:r>
        <w:rPr>
          <w:bCs/>
          <w:b/>
        </w:rPr>
        <w:t xml:space="preserve">LSR Standard:</w:t>
      </w:r>
      <w:r>
        <w:t xml:space="preserve"> </w:t>
      </w:r>
      <w:r>
        <w:t xml:space="preserve">While recognized, detailed land-use data for specific raw material origins (e.g., impacts of aluminum mining or plastic feedstock) would require extensive supply chain traceability beyond the scope of this general PCF, especially given the standard\'s focus on agricultural and land use change emissions.</w:t>
      </w:r>
    </w:p>
    <w:p>
      <w:pPr>
        <w:numPr>
          <w:ilvl w:val="0"/>
          <w:numId w:val="1025"/>
        </w:numPr>
        <w:pStyle w:val="Compact"/>
      </w:pPr>
      <w:r>
        <w:rPr>
          <w:bCs/>
          <w:b/>
        </w:rPr>
        <w:t xml:space="preserve">Scope 3 Coverage:</w:t>
      </w:r>
      <w:r>
        <w:t xml:space="preserve"> </w:t>
      </w:r>
      <w:r>
        <w:t xml:space="preserve">Efforts were made to cover significant Scope 3 categories to meet the proposed 95% threshold. However, certain minor categories (e.g., business travel, employee commuting for suppliers) were not explicitly quantified due to data limitations but are acknowledged as part of the broader value chain.</w:t>
      </w:r>
    </w:p>
    <w:p>
      <w:pPr>
        <w:numPr>
          <w:ilvl w:val="0"/>
          <w:numId w:val="1025"/>
        </w:numPr>
        <w:pStyle w:val="Compact"/>
      </w:pPr>
      <w:r>
        <w:rPr>
          <w:bCs/>
          <w:b/>
        </w:rPr>
        <w:t xml:space="preserve">European Average Electricity:</w:t>
      </w:r>
      <w:r>
        <w:t xml:space="preserve"> </w:t>
      </w:r>
      <w:r>
        <w:t xml:space="preserve">An assumed average emission factor for European electricity was used for the use phase due to the unspecified end-user country within Europe.</w:t>
      </w:r>
    </w:p>
    <w:bookmarkEnd w:id="48"/>
    <w:bookmarkStart w:id="49" w:name="recommendations-for-reduction"/>
    <w:p>
      <w:pPr>
        <w:pStyle w:val="Heading3"/>
      </w:pPr>
      <w:r>
        <w:t xml:space="preserve">8.3. Recommendations for Reduction</w:t>
      </w:r>
    </w:p>
    <w:p>
      <w:pPr>
        <w:numPr>
          <w:ilvl w:val="0"/>
          <w:numId w:val="1026"/>
        </w:numPr>
        <w:pStyle w:val="Compact"/>
      </w:pPr>
      <w:r>
        <w:rPr>
          <w:bCs/>
          <w:b/>
        </w:rPr>
        <w:t xml:space="preserve">Energy Efficiency in Use:</w:t>
      </w:r>
      <w:r>
        <w:t xml:space="preserve"> </w:t>
      </w:r>
      <w:r>
        <w:t xml:space="preserve">Invest in R&amp;D to enhance the energy efficiency of pgtzwvwwnp during its operational lifespan.</w:t>
      </w:r>
    </w:p>
    <w:p>
      <w:pPr>
        <w:numPr>
          <w:ilvl w:val="0"/>
          <w:numId w:val="1026"/>
        </w:numPr>
        <w:pStyle w:val="Compact"/>
      </w:pPr>
      <w:r>
        <w:rPr>
          <w:bCs/>
          <w:b/>
        </w:rPr>
        <w:t xml:space="preserve">Supply Chain Engagement:</w:t>
      </w:r>
      <w:r>
        <w:t xml:space="preserve"> </w:t>
      </w:r>
      <w:r>
        <w:t xml:space="preserve">Collaborate with raw material suppliers to obtain primary emission data and explore options for lower-carbon materials and recycled content.</w:t>
      </w:r>
    </w:p>
    <w:p>
      <w:pPr>
        <w:numPr>
          <w:ilvl w:val="0"/>
          <w:numId w:val="1026"/>
        </w:numPr>
        <w:pStyle w:val="Compact"/>
      </w:pPr>
      <w:r>
        <w:rPr>
          <w:bCs/>
          <w:b/>
        </w:rPr>
        <w:t xml:space="preserve">Logistics Optimization:</w:t>
      </w:r>
      <w:r>
        <w:t xml:space="preserve"> </w:t>
      </w:r>
      <w:r>
        <w:t xml:space="preserve">Investigate opportunities to optimize transportation routes, shift to lower-carbon freight (e.g., rail, sea for longer distances where feasible), and implement more efficient last-mile delivery solutions.</w:t>
      </w:r>
    </w:p>
    <w:p>
      <w:pPr>
        <w:numPr>
          <w:ilvl w:val="0"/>
          <w:numId w:val="1026"/>
        </w:numPr>
        <w:pStyle w:val="Compact"/>
      </w:pPr>
      <w:r>
        <w:rPr>
          <w:bCs/>
          <w:b/>
        </w:rPr>
        <w:t xml:space="preserve">Renewable Energy in Production:</w:t>
      </w:r>
      <w:r>
        <w:t xml:space="preserve"> </w:t>
      </w:r>
      <w:r>
        <w:t xml:space="preserve">Continue to increase renewable energy usage beyond 75% at the production facility and encourage suppliers to do the same.</w:t>
      </w:r>
    </w:p>
    <w:p>
      <w:pPr>
        <w:numPr>
          <w:ilvl w:val="0"/>
          <w:numId w:val="1026"/>
        </w:numPr>
        <w:pStyle w:val="Compact"/>
      </w:pPr>
      <w:r>
        <w:rPr>
          <w:bCs/>
          <w:b/>
        </w:rPr>
        <w:t xml:space="preserve">Circular Economy Integration:</w:t>
      </w:r>
      <w:r>
        <w:t xml:space="preserve"> </w:t>
      </w:r>
      <w:r>
        <w:t xml:space="preserve">Strengthen the existing product take-back and refurbishment program to maximize material recovery and minimize waste, potentially increasing the avoided emissions credit.</w:t>
      </w:r>
    </w:p>
    <w:p>
      <w:r>
        <w:pict>
          <v:rect style="width:0;height:1.5pt" o:hralign="center" o:hrstd="t" o:hr="t"/>
        </w:pict>
      </w:r>
    </w:p>
    <w:p>
      <w:pPr>
        <w:pStyle w:val="FirstParagraph"/>
      </w:pPr>
      <w:r>
        <w:t xml:space="preserve">This report provides dyzflydqfw with a robust baseline for understanding the carbon footprint of pgtzwvwwnp and identifies clear pathways for emissions reduction in line with global sustainability goals and evolving GHG Protocol standards.</w:t>
      </w:r>
    </w:p>
    <w:p>
      <w:pPr>
        <w:pStyle w:val="BodyText"/>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pgtzwvwwnp</dc:title>
  <dc:creator/>
  <dc:description>High-detail Product Carbon Footprint (PCF) analysis for pgtzwvwwnp by Senior Sustainability Consultant eghfrtiutd, adhering to GHG Protocol standards and 2026 updates.</dc:description>
  <dc:language>en</dc:language>
  <cp:keywords/>
  <dcterms:created xsi:type="dcterms:W3CDTF">2026-07-15T15:32:38Z</dcterms:created>
  <dcterms:modified xsi:type="dcterms:W3CDTF">2026-07-15T15:32:38Z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