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Analysis</w:t>
      </w:r>
      <w:r>
        <w:t xml:space="preserve"> </w:t>
      </w:r>
      <w:r>
        <w:t xml:space="preserve">Report</w:t>
      </w:r>
      <w:r>
        <w:t xml:space="preserve"> </w:t>
      </w:r>
      <w:r>
        <w:t xml:space="preserve">for</w:t>
      </w:r>
      <w:r>
        <w:t xml:space="preserve"> </w:t>
      </w:r>
      <w:r>
        <w:t xml:space="preserve">oygzjsuplz</w:t>
      </w:r>
      <w:r>
        <w:t xml:space="preserve"> </w:t>
      </w:r>
      <w:r>
        <w:t xml:space="preserve">-</w:t>
      </w:r>
      <w:r>
        <w:t xml:space="preserve"> </w:t>
      </w:r>
      <w:r>
        <w:t xml:space="preserve">dlilhqetwt</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oygzjsuplz</w:t>
      </w:r>
    </w:p>
    <w:p>
      <w:pPr>
        <w:pStyle w:val="BodyText"/>
      </w:pPr>
      <w:r>
        <w:rPr>
          <w:bCs/>
          <w:b/>
        </w:rPr>
        <w:t xml:space="preserve">Company:</w:t>
      </w:r>
      <w:r>
        <w:t xml:space="preserve"> </w:t>
      </w:r>
      <w:r>
        <w:t xml:space="preserve">dlilhqetwt</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mvsoyoqdvf</w:t>
      </w:r>
    </w:p>
    <w:p>
      <w:pPr>
        <w:pStyle w:val="BodyText"/>
      </w:pPr>
      <w:r>
        <w:rPr>
          <w:bCs/>
          <w:b/>
        </w:rPr>
        <w:t xml:space="preserve">Generated Date:</w:t>
      </w:r>
      <w:r>
        <w:t xml:space="preserve"> </w:t>
      </w:r>
      <w:r>
        <w:t xml:space="preserve">June 2, 2026</w:t>
      </w:r>
    </w:p>
    <w:p>
      <w:pPr>
        <w:pStyle w:val="BodyText"/>
      </w:pPr>
      <w:r>
        <w:t xml:space="preserve">Disclaimer: This report is generated based on available data and industry standards, incorporating specific parameters provided. While every effort has been made to ensure accuracy, the results are indicative and may be subject to change with more granular primary data or evolving methodologies.</w:t>
      </w:r>
    </w:p>
    <w:bookmarkEnd w:id="20"/>
    <w:bookmarkStart w:id="21" w:name="X44d8494c6104f027f5530472dfc49b02e56b51a"/>
    <w:p>
      <w:pPr>
        <w:pStyle w:val="Heading1"/>
      </w:pPr>
      <w:r>
        <w:t xml:space="preserve">Product Carbon Footprint Analysis Report for oygzjsuplz</w:t>
      </w:r>
    </w:p>
    <w:p>
      <w:pPr>
        <w:pStyle w:val="FirstParagraph"/>
      </w:pPr>
      <w:r>
        <w:rPr>
          <w:bCs/>
          <w:b/>
        </w:rPr>
        <w:t xml:space="preserve">Generated Date:</w:t>
      </w:r>
      <w:r>
        <w:t xml:space="preserve"> </w:t>
      </w:r>
      <w:r>
        <w:t xml:space="preserve">June 2, 2026</w:t>
      </w:r>
    </w:p>
    <w:p>
      <w:pPr>
        <w:pStyle w:val="BodyText"/>
      </w:pPr>
      <w:r>
        <w:rPr>
          <w:bCs/>
          <w:b/>
        </w:rPr>
        <w:t xml:space="preserve">Senior Sustainability Consultant:</w:t>
      </w:r>
      <w:r>
        <w:t xml:space="preserve"> </w:t>
      </w:r>
      <w:r>
        <w:t xml:space="preserve">mvsoyoqdvf</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 oygzjsuplz, manufactured by dlilhqetwt. The analysis was conducted in accordance with the GHG Protocol standards, with a focus on Scope 1, 2, and 3 emissions, and consideration for the upcoming 2026 updates including the Land Sector and Removals (LSR) Standard and enhanced Scope 3 reporting requirements. The total Cradle-to-Grave PCF for one unit of oygzjsuplz is calculated to be</w:t>
      </w:r>
      <w:r>
        <w:t xml:space="preserve"> </w:t>
      </w:r>
      <w:r>
        <w:rPr>
          <w:bCs/>
          <w:b/>
        </w:rPr>
        <w:t xml:space="preserve">22.35 kg CO2e</w:t>
      </w:r>
      <w:r>
        <w:t xml:space="preserve">. The Use Phase and the upstream emissions from purchased materials are identified as the primary emission hotspots.</w:t>
      </w:r>
    </w:p>
    <w:p>
      <w:pPr>
        <w:pStyle w:val="BodyText"/>
      </w:pPr>
      <w:r>
        <w:t xml:space="preserve">Key insights indicate significant opportunities for emission reductions through enhancing energy efficiency in the use phase and maximizing material circularity.</w:t>
      </w:r>
    </w:p>
    <w:p>
      <w:r>
        <w:pict>
          <v:rect style="width:0;height:1.5pt" o:hralign="center" o:hrstd="t" o:hr="t"/>
        </w:pict>
      </w:r>
    </w:p>
    <w:bookmarkEnd w:id="22"/>
    <w:bookmarkStart w:id="24" w:name="define-scope"/>
    <w:p>
      <w:pPr>
        <w:pStyle w:val="Heading2"/>
      </w:pPr>
      <w:r>
        <w:t xml:space="preserve">1. Define Scope</w:t>
      </w:r>
    </w:p>
    <w:p>
      <w:pPr>
        <w:pStyle w:val="FirstParagraph"/>
      </w:pPr>
      <w:r>
        <w:t xml:space="preserve">The scope of this Product Carbon Footprint (PCF) analysis for oygzjsuplz is defined as follows:</w:t>
      </w:r>
    </w:p>
    <w:p>
      <w:pPr>
        <w:numPr>
          <w:ilvl w:val="0"/>
          <w:numId w:val="1001"/>
        </w:numPr>
        <w:pStyle w:val="Compact"/>
      </w:pPr>
      <w:r>
        <w:rPr>
          <w:bCs/>
          <w:b/>
        </w:rPr>
        <w:t xml:space="preserve">Functional Unit:</w:t>
      </w:r>
      <w:r>
        <w:t xml:space="preserve"> </w:t>
      </w:r>
      <w:r>
        <w:t xml:space="preserve">1.0 unit of oygzjsuplz.</w:t>
      </w:r>
    </w:p>
    <w:p>
      <w:pPr>
        <w:numPr>
          <w:ilvl w:val="0"/>
          <w:numId w:val="1001"/>
        </w:numPr>
        <w:pStyle w:val="Compact"/>
      </w:pPr>
      <w:r>
        <w:rPr>
          <w:bCs/>
          <w:b/>
        </w:rPr>
        <w:t xml:space="preserve">System Boundary:</w:t>
      </w:r>
      <w:r>
        <w:t xml:space="preserve"> </w:t>
      </w:r>
      <w:r>
        <w:t xml:space="preserve">Cradle-to-Grave, encompassing raw material extraction (upstream), manufacturing (factory_gate), transportation, product use, and end-of-life treatment. This provides a comprehensive view of the product\'s environmental impact throughout its lifecycle.</w:t>
      </w:r>
    </w:p>
    <w:p>
      <w:pPr>
        <w:numPr>
          <w:ilvl w:val="0"/>
          <w:numId w:val="1001"/>
        </w:numPr>
        <w:pStyle w:val="Compact"/>
      </w:pPr>
      <w:r>
        <w:rPr>
          <w:bCs/>
          <w:b/>
        </w:rPr>
        <w:t xml:space="preserve">Geographic Scope:</w:t>
      </w:r>
      <w:r>
        <w:t xml:space="preserve"> </w:t>
      </w:r>
      <w:r>
        <w:t xml:space="preserve">Final Production Country: China. Supply Chain Focus: Europe Focused. This implies primary supply chain routes are considered between China and Europe.</w:t>
      </w:r>
    </w:p>
    <w:p>
      <w:pPr>
        <w:numPr>
          <w:ilvl w:val="0"/>
          <w:numId w:val="1001"/>
        </w:numPr>
        <w:pStyle w:val="Compact"/>
      </w:pPr>
      <w:r>
        <w:rPr>
          <w:bCs/>
          <w:b/>
        </w:rPr>
        <w:t xml:space="preserve">Accounting Standard:</w:t>
      </w:r>
      <w:r>
        <w:t xml:space="preserve"> </w:t>
      </w:r>
      <w:r>
        <w:t xml:space="preserve">GHG Protocol. Emissions are categorized into Scope 1 (direct emissions), Scope 2 (indirect emissions from purchased energy), and Scope 3 (all other indirect emissions in the value chain).</w:t>
      </w:r>
    </w:p>
    <w:p>
      <w:pPr>
        <w:numPr>
          <w:ilvl w:val="0"/>
          <w:numId w:val="1001"/>
        </w:numPr>
        <w:pStyle w:val="Compact"/>
      </w:pPr>
      <w:r>
        <w:rPr>
          <w:bCs/>
          <w:b/>
        </w:rPr>
        <w:t xml:space="preserve">Allocation:</w:t>
      </w:r>
      <w:r>
        <w:t xml:space="preserve"> </w:t>
      </w:r>
      <w:r>
        <w:t xml:space="preserve">Emissions are allocated directly to the functional unit based on mass, energy consumption, and distance-based transport activities. For shared processes (e.g., transport vehicles), emissions are allocated proportionally to the product\'s weight.</w:t>
      </w:r>
    </w:p>
    <w:bookmarkStart w:id="23" w:name="ghg-protocol-2026-updates-consideration"/>
    <w:p>
      <w:pPr>
        <w:pStyle w:val="Heading3"/>
      </w:pPr>
      <w:r>
        <w:t xml:space="preserve">GHG Protocol 2026 Updates Consideration:</w:t>
      </w:r>
    </w:p>
    <w:p>
      <w:pPr>
        <w:pStyle w:val="FirstParagraph"/>
      </w:pPr>
      <w:r>
        <w:t xml:space="preserve">This report acknowledges the upcoming revisions to GHG Protocol standards. The Land Sector and Removals (LSR) Standard, taking effect January 1, 2027, provides guidelines for accounting for land emissions and CO2 removals. While oygzjsuplz\'s direct inputs do not primarily involve land-intensive agricultural products, potential land-use impacts within broader material supply chains are recognized. The forthcoming accompanying guidance for the LSR Standard in Q2 2026 will provide further practical direction.</w:t>
      </w:r>
    </w:p>
    <w:p>
      <w:pPr>
        <w:pStyle w:val="BodyText"/>
      </w:pPr>
      <w:r>
        <w:t xml:space="preserve">Furthermore, the March 2026 Phase 1 Progress Update on the Scope 3 Standard revision proposes a 95% inclusion threshold for required Scope 3 emissions (Categories 1-15), aiming for near-complete coverage. This analysis aims to achieve comprehensive Scope 3 coverage, and all identified relevant categories have been included. Mandatory disaggregation by data type (primary vs. secondary) is also a key proposed change, pushing for greater data quality.</w:t>
      </w:r>
    </w:p>
    <w:p>
      <w:r>
        <w:pict>
          <v:rect style="width:0;height:1.5pt" o:hralign="center" o:hrstd="t" o:hr="t"/>
        </w:pict>
      </w:r>
    </w:p>
    <w:bookmarkEnd w:id="23"/>
    <w:bookmarkEnd w:id="24"/>
    <w:bookmarkStart w:id="30" w:name="X668a29dea6996859d52024a913312988ccfa3c9"/>
    <w:p>
      <w:pPr>
        <w:pStyle w:val="Heading2"/>
      </w:pPr>
      <w:r>
        <w:t xml:space="preserve">2. Map Lifecycle (LCI Inventory Stages) &amp; 3. Collect Data</w:t>
      </w:r>
    </w:p>
    <w:p>
      <w:pPr>
        <w:pStyle w:val="FirstParagraph"/>
      </w:pPr>
      <w:r>
        <w:t xml:space="preserve">The lifecycle of oygzjsuplz is mapped across five key stages: Materials Acquisition &amp; Pre-processing, Production, Transportation, Use Phase, and End-of-Life. Data for each stage was collected from the provided parameters and supplemented with industry-standard emission factors where specific data was not available.</w:t>
      </w:r>
    </w:p>
    <w:bookmarkStart w:id="25" w:name="X71f6b40095ea257d3fbde173997c4506e167e85"/>
    <w:p>
      <w:pPr>
        <w:pStyle w:val="Heading3"/>
      </w:pPr>
      <w:r>
        <w:t xml:space="preserve">Detailed Bill of Materials (BOM) &amp; Material Inputs (Scope 3, Category 1)</w:t>
      </w:r>
    </w:p>
    <w:p>
      <w:pPr>
        <w:pStyle w:val="FirstParagraph"/>
      </w:pPr>
      <w:r>
        <w:t xml:space="preserve">The following detailed Bill of Materials (BOM) was used for high-accuracy material impact calculation: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 or kg)</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12.0</w:t>
            </w:r>
          </w:p>
        </w:tc>
        <w:tc>
          <w:tcPr/>
          <w:p>
            <w:pPr>
              <w:pStyle w:val="Compact"/>
              <w:jc w:val="left"/>
            </w:pPr>
            <w:r>
              <w:t xml:space="preserve">6.0</w:t>
            </w:r>
          </w:p>
        </w:tc>
      </w:tr>
      <w:tr>
        <w:tc>
          <w:tcPr/>
          <w:p>
            <w:pPr>
              <w:pStyle w:val="Compact"/>
              <w:jc w:val="left"/>
            </w:pPr>
            <w:r>
              <w:t xml:space="preserve">2</w:t>
            </w:r>
          </w:p>
        </w:tc>
        <w:tc>
          <w:tcPr/>
          <w:p>
            <w:pPr>
              <w:pStyle w:val="Compact"/>
              <w:jc w:val="left"/>
            </w:pPr>
            <w:r>
              <w:t xml:space="preserve">Plastic Enclosure</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3.5</w:t>
            </w:r>
          </w:p>
        </w:tc>
        <w:tc>
          <w:tcPr/>
          <w:p>
            <w:pPr>
              <w:pStyle w:val="Compact"/>
              <w:jc w:val="left"/>
            </w:pPr>
            <w:r>
              <w:t xml:space="preserve">1.05</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20.0</w:t>
            </w:r>
          </w:p>
        </w:tc>
        <w:tc>
          <w:tcPr/>
          <w:p>
            <w:pPr>
              <w:pStyle w:val="Compact"/>
              <w:jc w:val="left"/>
            </w:pPr>
            <w:r>
              <w:t xml:space="preserve">2.0</w:t>
            </w:r>
          </w:p>
        </w:tc>
      </w:tr>
      <w:tr>
        <w:tc>
          <w:tcPr/>
          <w:p>
            <w:pPr>
              <w:pStyle w:val="Compact"/>
              <w:jc w:val="left"/>
            </w:pPr>
            <w:r>
              <w:t xml:space="preserve">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0.02</w:t>
            </w:r>
          </w:p>
        </w:tc>
        <w:tc>
          <w:tcPr/>
          <w:p>
            <w:pPr>
              <w:pStyle w:val="Compact"/>
              <w:jc w:val="left"/>
            </w:pPr>
            <w:r>
              <w:t xml:space="preserve">kg</w:t>
            </w:r>
          </w:p>
        </w:tc>
        <w:tc>
          <w:tcPr/>
          <w:p>
            <w:pPr>
              <w:pStyle w:val="Compact"/>
              <w:jc w:val="left"/>
            </w:pPr>
            <w:r>
              <w:t xml:space="preserve">4.0</w:t>
            </w:r>
          </w:p>
        </w:tc>
        <w:tc>
          <w:tcPr/>
          <w:p>
            <w:pPr>
              <w:pStyle w:val="Compact"/>
              <w:jc w:val="left"/>
            </w:pPr>
            <w:r>
              <w:t xml:space="preserve">0.08</w:t>
            </w:r>
          </w:p>
        </w:tc>
      </w:tr>
    </w:tbl>
    <w:p>
      <w:pPr>
        <w:pStyle w:val="BodyText"/>
      </w:pPr>
      <w:r>
        <w:rPr>
          <w:bCs/>
          <w:b/>
        </w:rPr>
        <w:t xml:space="preserve">Total Mass of Product:</w:t>
      </w:r>
      <w:r>
        <w:t xml:space="preserve"> </w:t>
      </w:r>
      <w:r>
        <w:t xml:space="preserve">0.92 kg</w:t>
      </w:r>
    </w:p>
    <w:p>
      <w:pPr>
        <w:pStyle w:val="BodyText"/>
      </w:pPr>
      <w:r>
        <w:rPr>
          <w:bCs/>
          <w:b/>
        </w:rPr>
        <w:t xml:space="preserve">Total Emissions from Materials:</w:t>
      </w:r>
      <w:r>
        <w:t xml:space="preserve"> </w:t>
      </w:r>
      <w:r>
        <w:t xml:space="preserve">9.13 kg CO2e</w:t>
      </w:r>
    </w:p>
    <w:bookmarkEnd w:id="25"/>
    <w:bookmarkStart w:id="26" w:name="production-energy-inputs-scope-2"/>
    <w:p>
      <w:pPr>
        <w:pStyle w:val="Heading3"/>
      </w:pPr>
      <w:r>
        <w:t xml:space="preserve">Production Energy Inputs (Scope 2)</w:t>
      </w:r>
    </w:p>
    <w:p>
      <w:pPr>
        <w:numPr>
          <w:ilvl w:val="0"/>
          <w:numId w:val="1002"/>
        </w:numPr>
        <w:pStyle w:val="Compact"/>
      </w:pPr>
      <w:r>
        <w:rPr>
          <w:bCs/>
          <w:b/>
        </w:rPr>
        <w:t xml:space="preserve">Energy Intensity:</w:t>
      </w:r>
      <w:r>
        <w:t xml:space="preserve"> </w:t>
      </w:r>
      <w:r>
        <w:t xml:space="preserve">15 kWh/unit</w:t>
      </w:r>
    </w:p>
    <w:p>
      <w:pPr>
        <w:numPr>
          <w:ilvl w:val="0"/>
          <w:numId w:val="1002"/>
        </w:numPr>
        <w:pStyle w:val="Compact"/>
      </w:pPr>
      <w:r>
        <w:rPr>
          <w:bCs/>
          <w:b/>
        </w:rPr>
        <w:t xml:space="preserve">Renewable Energy Usage:</w:t>
      </w:r>
      <w:r>
        <w:t xml:space="preserve"> </w:t>
      </w:r>
      <w:r>
        <w:t xml:space="preserve">70% of electricity purchased is from renewable sources.</w:t>
      </w:r>
    </w:p>
    <w:p>
      <w:pPr>
        <w:numPr>
          <w:ilvl w:val="0"/>
          <w:numId w:val="1002"/>
        </w:numPr>
        <w:pStyle w:val="Compact"/>
      </w:pPr>
      <w:r>
        <w:rPr>
          <w:bCs/>
          <w:b/>
        </w:rPr>
        <w:t xml:space="preserve">Remaining Grid Electricity:</w:t>
      </w:r>
      <w:r>
        <w:t xml:space="preserve"> </w:t>
      </w:r>
      <w:r>
        <w:t xml:space="preserve">30% from the grid mix of China. The average grid emission factor for China is approximately 0.577 kg CO2e/kWh.</w:t>
      </w:r>
    </w:p>
    <w:bookmarkEnd w:id="26"/>
    <w:bookmarkStart w:id="27" w:name="Xc5e76fe219c9dacbd1d3fcb6bbacadbf7daecd3"/>
    <w:p>
      <w:pPr>
        <w:pStyle w:val="Heading3"/>
      </w:pPr>
      <w:r>
        <w:t xml:space="preserve">Transportation Data (Scope 3, Categories 4 &amp; 9)</w:t>
      </w:r>
    </w:p>
    <w:p>
      <w:pPr>
        <w:pStyle w:val="FirstParagraph"/>
      </w:pPr>
      <w:r>
        <w:t xml:space="preserve">The transportation of oygzjsuplz from raw material suppliers to manufacturing, and then to the end-user, involves multiple modes. The product\'s total weight for transport is 0.92 kg (0.00092 tonnes).</w:t>
      </w:r>
    </w:p>
    <w:p>
      <w:pPr>
        <w:numPr>
          <w:ilvl w:val="0"/>
          <w:numId w:val="1003"/>
        </w:numPr>
        <w:pStyle w:val="Compact"/>
      </w:pPr>
      <w:r>
        <w:rPr>
          <w:bCs/>
          <w:b/>
        </w:rPr>
        <w:t xml:space="preserve">Transport Mode (Assumed Multi-modal):</w:t>
      </w:r>
      <w:r>
        <w:t xml:space="preserve"> </w:t>
      </w:r>
      <w:r>
        <w:t xml:space="preserve">Ocean Freight (China to Europe port), Road Freight (Europe port to Distribution Center), Last-Mile Delivery (Small Parcel Courier Van).</w:t>
      </w:r>
    </w:p>
    <w:p>
      <w:pPr>
        <w:numPr>
          <w:ilvl w:val="0"/>
          <w:numId w:val="1003"/>
        </w:numPr>
        <w:pStyle w:val="Compact"/>
      </w:pPr>
      <w:r>
        <w:rPr>
          <w:bCs/>
          <w:b/>
        </w:rPr>
        <w:t xml:space="preserve">Transport Distance (Assumed):</w:t>
      </w:r>
    </w:p>
    <w:p>
      <w:pPr>
        <w:numPr>
          <w:ilvl w:val="1"/>
          <w:numId w:val="1004"/>
        </w:numPr>
        <w:pStyle w:val="Compact"/>
      </w:pPr>
      <w:r>
        <w:t xml:space="preserve">Ocean Freight: 15,000 km</w:t>
      </w:r>
    </w:p>
    <w:p>
      <w:pPr>
        <w:numPr>
          <w:ilvl w:val="1"/>
          <w:numId w:val="1004"/>
        </w:numPr>
        <w:pStyle w:val="Compact"/>
      </w:pPr>
      <w:r>
        <w:t xml:space="preserve">Road Freight (to DC): 500 km</w:t>
      </w:r>
    </w:p>
    <w:p>
      <w:pPr>
        <w:numPr>
          <w:ilvl w:val="1"/>
          <w:numId w:val="1004"/>
        </w:numPr>
        <w:pStyle w:val="Compact"/>
      </w:pPr>
      <w:r>
        <w:t xml:space="preserve">Last-Mile Delivery: 50 km</w:t>
      </w:r>
    </w:p>
    <w:p>
      <w:pPr>
        <w:numPr>
          <w:ilvl w:val="0"/>
          <w:numId w:val="1003"/>
        </w:numPr>
        <w:pStyle w:val="Compact"/>
      </w:pPr>
      <w:r>
        <w:rPr>
          <w:bCs/>
          <w:b/>
        </w:rPr>
        <w:t xml:space="preserve">Emission Factors Used:</w:t>
      </w:r>
    </w:p>
    <w:p>
      <w:pPr>
        <w:numPr>
          <w:ilvl w:val="1"/>
          <w:numId w:val="1005"/>
        </w:numPr>
        <w:pStyle w:val="Compact"/>
      </w:pPr>
      <w:r>
        <w:t xml:space="preserve">Ocean Freight: 0.016 kg CO2e/tkm (16 gCO2e/tkm)</w:t>
      </w:r>
    </w:p>
    <w:p>
      <w:pPr>
        <w:numPr>
          <w:ilvl w:val="1"/>
          <w:numId w:val="1005"/>
        </w:numPr>
        <w:pStyle w:val="Compact"/>
      </w:pPr>
      <w:r>
        <w:t xml:space="preserve">Road Freight (Truck): 0.105 kg CO2e/tkm (105 gCO2e/tkm)</w:t>
      </w:r>
    </w:p>
    <w:p>
      <w:pPr>
        <w:numPr>
          <w:ilvl w:val="1"/>
          <w:numId w:val="1005"/>
        </w:numPr>
        <w:pStyle w:val="Compact"/>
      </w:pPr>
      <w:r>
        <w:t xml:space="preserve">Last-Mile Delivery (Small Parcel / Van equivalent): An attributed factor based on general road freight for a package of similar weight (0.105 kg CO2e/tkm).</w:t>
      </w:r>
    </w:p>
    <w:bookmarkEnd w:id="27"/>
    <w:bookmarkStart w:id="28" w:name="use-phase-data-scope-3-category-11"/>
    <w:p>
      <w:pPr>
        <w:pStyle w:val="Heading3"/>
      </w:pPr>
      <w:r>
        <w:t xml:space="preserve">Use Phase Data (Scope 3, Category 11)</w:t>
      </w:r>
    </w:p>
    <w:p>
      <w:pPr>
        <w:numPr>
          <w:ilvl w:val="0"/>
          <w:numId w:val="1006"/>
        </w:numPr>
        <w:pStyle w:val="Compact"/>
      </w:pPr>
      <w:r>
        <w:rPr>
          <w:bCs/>
          <w:b/>
        </w:rPr>
        <w:t xml:space="preserve">Product Lifespan:</w:t>
      </w:r>
      <w:r>
        <w:t xml:space="preserve"> </w:t>
      </w:r>
      <w:r>
        <w:t xml:space="preserve">5 years</w:t>
      </w:r>
    </w:p>
    <w:p>
      <w:pPr>
        <w:numPr>
          <w:ilvl w:val="0"/>
          <w:numId w:val="1006"/>
        </w:numPr>
        <w:pStyle w:val="Compact"/>
      </w:pPr>
      <w:r>
        <w:rPr>
          <w:bCs/>
          <w:b/>
        </w:rPr>
        <w:t xml:space="preserve">Energy Consumption in Use:</w:t>
      </w:r>
      <w:r>
        <w:t xml:space="preserve"> </w:t>
      </w:r>
      <w:r>
        <w:t xml:space="preserve">10 kWh/year</w:t>
      </w:r>
    </w:p>
    <w:p>
      <w:pPr>
        <w:numPr>
          <w:ilvl w:val="0"/>
          <w:numId w:val="1006"/>
        </w:numPr>
        <w:pStyle w:val="Compact"/>
      </w:pPr>
      <w:r>
        <w:rPr>
          <w:bCs/>
          <w:b/>
        </w:rPr>
        <w:t xml:space="preserve">Assumed Grid Electricity (User):</w:t>
      </w:r>
      <w:r>
        <w:t xml:space="preserve"> </w:t>
      </w:r>
      <w:r>
        <w:t xml:space="preserve">For a "Europe Focused" supply chain, an average EU grid mix of 0.3 kg CO2e/kWh is assumed for the user\'s electricity consumption.</w:t>
      </w:r>
    </w:p>
    <w:bookmarkEnd w:id="28"/>
    <w:bookmarkStart w:id="29" w:name="X3261202975bfccb1283f2bd5fabef2dfdbe9c90"/>
    <w:p>
      <w:pPr>
        <w:pStyle w:val="Heading3"/>
      </w:pPr>
      <w:r>
        <w:t xml:space="preserve">End-of-Life (EoL) Scenarios (Scope 3, Category 12)</w:t>
      </w:r>
    </w:p>
    <w:p>
      <w:pPr>
        <w:numPr>
          <w:ilvl w:val="0"/>
          <w:numId w:val="1007"/>
        </w:numPr>
        <w:pStyle w:val="Compact"/>
      </w:pPr>
      <w:r>
        <w:rPr>
          <w:bCs/>
          <w:b/>
        </w:rPr>
        <w:t xml:space="preserve">Recyclability Percentage:</w:t>
      </w:r>
      <w:r>
        <w:t xml:space="preserve"> </w:t>
      </w:r>
      <w:r>
        <w:t xml:space="preserve">80% (by weight, for applicable materials).</w:t>
      </w:r>
    </w:p>
    <w:p>
      <w:pPr>
        <w:numPr>
          <w:ilvl w:val="0"/>
          <w:numId w:val="1007"/>
        </w:numPr>
        <w:pStyle w:val="Compact"/>
      </w:pPr>
      <w:r>
        <w:rPr>
          <w:bCs/>
          <w:b/>
        </w:rPr>
        <w:t xml:space="preserve">Circular/Take-back Programs:</w:t>
      </w:r>
      <w:r>
        <w:t xml:space="preserve"> </w:t>
      </w:r>
      <w:r>
        <w:t xml:space="preserve">Yes, regional take-back program active, facilitating recycling.</w:t>
      </w:r>
    </w:p>
    <w:p>
      <w:pPr>
        <w:numPr>
          <w:ilvl w:val="0"/>
          <w:numId w:val="1007"/>
        </w:numPr>
        <w:pStyle w:val="Compact"/>
      </w:pPr>
      <w:r>
        <w:rPr>
          <w:bCs/>
          <w:b/>
        </w:rPr>
        <w:t xml:space="preserve">Disposal (Remaining 20%):</w:t>
      </w:r>
      <w:r>
        <w:t xml:space="preserve"> </w:t>
      </w:r>
      <w:r>
        <w:t xml:space="preserve">Assumed to be landfilled. Emission factor for plastic landfill is 0.033 kg CO2e/kg. Recycling credits for metals and plastics are incorporated based on avoided virgin material production.</w:t>
      </w:r>
    </w:p>
    <w:p>
      <w:r>
        <w:pict>
          <v:rect style="width:0;height:1.5pt" o:hralign="center" o:hrstd="t" o:hr="t"/>
        </w:pict>
      </w:r>
    </w:p>
    <w:bookmarkEnd w:id="29"/>
    <w:bookmarkEnd w:id="30"/>
    <w:bookmarkStart w:id="33" w:name="Xb404f6bea4a0013006ec7a9103609d9ea6643c1"/>
    <w:p>
      <w:pPr>
        <w:pStyle w:val="Heading2"/>
      </w:pPr>
      <w:r>
        <w:t xml:space="preserve">4. Calculate Emissions (Activity * Emission Factor = CO2e)</w:t>
      </w:r>
    </w:p>
    <w:p>
      <w:pPr>
        <w:pStyle w:val="FirstParagraph"/>
      </w:pPr>
      <w:r>
        <w:t xml:space="preserve">Emissions are calculated for each lifecycle stage and categorized according to the GHG Protocol.</w:t>
      </w:r>
    </w:p>
    <w:bookmarkStart w:id="31" w:name="X44e22c173b02394a4a763dd20211ef2a3c7cda3"/>
    <w:p>
      <w:pPr>
        <w:pStyle w:val="Heading3"/>
      </w:pPr>
      <w:r>
        <w:t xml:space="preserve">Emissions Breakdown by Scope and Lifecycle Stage</w:t>
      </w:r>
    </w:p>
    <w:tbl>
      <w:tblPr>
        <w:tblStyle w:val="Table"/>
        <w:tblW w:type="auto" w:w="0"/>
        <w:tblLook w:firstRow="1" w:lastRow="1"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Activity Data</w:t>
            </w:r>
          </w:p>
        </w:tc>
        <w:tc>
          <w:tcPr/>
          <w:p>
            <w:pPr>
              <w:pStyle w:val="Compact"/>
              <w:jc w:val="left"/>
            </w:pPr>
            <w:r>
              <w:t xml:space="preserve">Emission Factor</w:t>
            </w:r>
          </w:p>
        </w:tc>
        <w:tc>
          <w:tcPr/>
          <w:p>
            <w:pPr>
              <w:pStyle w:val="Compact"/>
              <w:jc w:val="left"/>
            </w:pPr>
            <w:r>
              <w:t xml:space="preserve">Calculated CO2e (kg)</w:t>
            </w:r>
          </w:p>
        </w:tc>
      </w:tr>
      <w:tr>
        <w:tc>
          <w:tcPr/>
          <w:p>
            <w:pPr>
              <w:pStyle w:val="Compact"/>
              <w:jc w:val="left"/>
            </w:pPr>
            <w:r>
              <w:rPr>
                <w:bCs/>
                <w:b/>
              </w:rPr>
              <w:t xml:space="preserve">Materials Acquisition &amp; Pre-processing</w:t>
            </w:r>
          </w:p>
        </w:tc>
        <w:tc>
          <w:tcPr/>
          <w:p>
            <w:pPr>
              <w:pStyle w:val="Compact"/>
              <w:jc w:val="left"/>
            </w:pPr>
            <w:r>
              <w:t xml:space="preserve">Scope 3, Category 1</w:t>
            </w:r>
          </w:p>
        </w:tc>
        <w:tc>
          <w:tcPr/>
          <w:p>
            <w:pPr>
              <w:pStyle w:val="Compact"/>
              <w:jc w:val="left"/>
            </w:pPr>
            <w:r>
              <w:t xml:space="preserve">BOM total</w:t>
            </w:r>
          </w:p>
        </w:tc>
        <w:tc>
          <w:tcPr/>
          <w:p>
            <w:pPr>
              <w:pStyle w:val="Compact"/>
              <w:jc w:val="left"/>
            </w:pPr>
            <w:r>
              <w:t xml:space="preserve">Provided per item</w:t>
            </w:r>
          </w:p>
        </w:tc>
        <w:tc>
          <w:tcPr/>
          <w:p>
            <w:pPr>
              <w:pStyle w:val="Compact"/>
              <w:jc w:val="left"/>
            </w:pPr>
            <w:r>
              <w:t xml:space="preserve">9.13</w:t>
            </w:r>
          </w:p>
        </w:tc>
      </w:tr>
      <w:tr>
        <w:tc>
          <w:tcPr/>
          <w:p>
            <w:pPr>
              <w:pStyle w:val="Compact"/>
              <w:jc w:val="left"/>
            </w:pPr>
            <w:r>
              <w:rPr>
                <w:bCs/>
                <w:b/>
              </w:rPr>
              <w:t xml:space="preserve">Production</w:t>
            </w:r>
          </w:p>
        </w:tc>
        <w:tc>
          <w:tcPr/>
          <w:p>
            <w:pPr>
              <w:pStyle w:val="Compact"/>
              <w:jc w:val="left"/>
            </w:pPr>
            <w:r>
              <w:t xml:space="preserve">Scope 2</w:t>
            </w:r>
          </w:p>
        </w:tc>
        <w:tc>
          <w:tcPr/>
          <w:p>
            <w:pPr>
              <w:pStyle w:val="Compact"/>
              <w:jc w:val="left"/>
            </w:pPr>
            <w:r>
              <w:t xml:space="preserve">4.5 kWh/unit (non-renewable)</w:t>
            </w:r>
          </w:p>
        </w:tc>
        <w:tc>
          <w:tcPr/>
          <w:p>
            <w:pPr>
              <w:pStyle w:val="Compact"/>
              <w:jc w:val="left"/>
            </w:pPr>
            <w:r>
              <w:t xml:space="preserve">0.577 kg CO2e/kWh (China grid)</w:t>
            </w:r>
          </w:p>
        </w:tc>
        <w:tc>
          <w:tcPr/>
          <w:p>
            <w:pPr>
              <w:pStyle w:val="Compact"/>
              <w:jc w:val="left"/>
            </w:pPr>
            <w:r>
              <w:t xml:space="preserve">2.60</w:t>
            </w:r>
          </w:p>
        </w:tc>
      </w:tr>
      <w:tr>
        <w:tc>
          <w:tcPr>
            <w:vMerge w:val="restart"/>
          </w:tcPr>
          <w:p>
            <w:pPr>
              <w:pStyle w:val="Compact"/>
              <w:jc w:val="left"/>
            </w:pPr>
            <w:r>
              <w:rPr>
                <w:bCs/>
                <w:b/>
              </w:rPr>
              <w:t xml:space="preserve">Transportation</w:t>
            </w:r>
          </w:p>
        </w:tc>
        <w:tc>
          <w:tcPr/>
          <w:p>
            <w:pPr>
              <w:pStyle w:val="Compact"/>
              <w:jc w:val="left"/>
            </w:pPr>
            <w:r>
              <w:t xml:space="preserve">Scope 3, Category 4 (Upstream)</w:t>
            </w:r>
          </w:p>
        </w:tc>
        <w:tc>
          <w:tcPr/>
          <w:p>
            <w:pPr>
              <w:pStyle w:val="Compact"/>
              <w:jc w:val="left"/>
            </w:pPr>
            <w:r>
              <w:t xml:space="preserve">0.00092 t * 15,000 km (Ocean)</w:t>
            </w:r>
          </w:p>
        </w:tc>
        <w:tc>
          <w:tcPr/>
          <w:p>
            <w:pPr>
              <w:pStyle w:val="Compact"/>
              <w:jc w:val="left"/>
            </w:pPr>
            <w:r>
              <w:t xml:space="preserve">0.016 kg CO2e/tkm</w:t>
            </w:r>
          </w:p>
        </w:tc>
        <w:tc>
          <w:tcPr/>
          <w:p>
            <w:pPr>
              <w:pStyle w:val="Compact"/>
              <w:jc w:val="left"/>
            </w:pPr>
            <w:r>
              <w:t xml:space="preserve">0.22</w:t>
            </w:r>
          </w:p>
        </w:tc>
      </w:tr>
      <w:tr>
        <w:tc>
          <w:tcPr>
            <w:gridSpan w:val="1"/>
            <w:vMerge w:val="continue"/>
          </w:tcPr>
          <w:p>
            <w:pPr/>
          </w:p>
        </w:tc>
        <w:tc>
          <w:tcPr/>
          <w:p>
            <w:pPr>
              <w:pStyle w:val="Compact"/>
              <w:jc w:val="left"/>
            </w:pPr>
            <w:r>
              <w:t xml:space="preserve">Scope 3, Category 4 (Upstream)</w:t>
            </w:r>
          </w:p>
        </w:tc>
        <w:tc>
          <w:tcPr/>
          <w:p>
            <w:pPr>
              <w:pStyle w:val="Compact"/>
              <w:jc w:val="left"/>
            </w:pPr>
            <w:r>
              <w:t xml:space="preserve">0.00092 t * 500 km (Road)</w:t>
            </w:r>
          </w:p>
        </w:tc>
        <w:tc>
          <w:tcPr/>
          <w:p>
            <w:pPr>
              <w:pStyle w:val="Compact"/>
              <w:jc w:val="left"/>
            </w:pPr>
            <w:r>
              <w:t xml:space="preserve">0.105 kg CO2e/tkm</w:t>
            </w:r>
          </w:p>
        </w:tc>
        <w:tc>
          <w:tcPr/>
          <w:p>
            <w:pPr>
              <w:pStyle w:val="Compact"/>
              <w:jc w:val="left"/>
            </w:pPr>
            <w:r>
              <w:t xml:space="preserve">0.05</w:t>
            </w:r>
          </w:p>
        </w:tc>
      </w:tr>
      <w:tr>
        <w:tc>
          <w:tcPr>
            <w:gridSpan w:val="1"/>
            <w:vMerge w:val="continue"/>
          </w:tcPr>
          <w:p>
            <w:pPr/>
          </w:p>
        </w:tc>
        <w:tc>
          <w:tcPr/>
          <w:p>
            <w:pPr>
              <w:pStyle w:val="Compact"/>
              <w:jc w:val="left"/>
            </w:pPr>
            <w:r>
              <w:t xml:space="preserve">Scope 3, Category 9 (Downstream)</w:t>
            </w:r>
          </w:p>
        </w:tc>
        <w:tc>
          <w:tcPr/>
          <w:p>
            <w:pPr>
              <w:pStyle w:val="Compact"/>
              <w:jc w:val="left"/>
            </w:pPr>
            <w:r>
              <w:t xml:space="preserve">0.00092 t * 50 km (Last-Mile)</w:t>
            </w:r>
          </w:p>
        </w:tc>
        <w:tc>
          <w:tcPr/>
          <w:p>
            <w:pPr>
              <w:pStyle w:val="Compact"/>
              <w:jc w:val="left"/>
            </w:pPr>
            <w:r>
              <w:t xml:space="preserve">0.105 kg CO2e/tkm (attributed)</w:t>
            </w:r>
          </w:p>
        </w:tc>
        <w:tc>
          <w:tcPr/>
          <w:p>
            <w:pPr>
              <w:pStyle w:val="Compact"/>
              <w:jc w:val="left"/>
            </w:pPr>
            <w:r>
              <w:t xml:space="preserve">0.00</w:t>
            </w:r>
          </w:p>
        </w:tc>
      </w:tr>
      <w:tr>
        <w:tc>
          <w:tcPr/>
          <w:p>
            <w:pPr>
              <w:pStyle w:val="Compact"/>
              <w:jc w:val="left"/>
            </w:pPr>
            <w:r>
              <w:rPr>
                <w:bCs/>
                <w:b/>
              </w:rPr>
              <w:t xml:space="preserve">Use Phase</w:t>
            </w:r>
          </w:p>
        </w:tc>
        <w:tc>
          <w:tcPr/>
          <w:p>
            <w:pPr>
              <w:pStyle w:val="Compact"/>
              <w:jc w:val="left"/>
            </w:pPr>
            <w:r>
              <w:t xml:space="preserve">Scope 3, Category 11</w:t>
            </w:r>
          </w:p>
        </w:tc>
        <w:tc>
          <w:tcPr/>
          <w:p>
            <w:pPr>
              <w:pStyle w:val="Compact"/>
              <w:jc w:val="left"/>
            </w:pPr>
            <w:r>
              <w:t xml:space="preserve">50 kWh (total over lifespan)</w:t>
            </w:r>
          </w:p>
        </w:tc>
        <w:tc>
          <w:tcPr/>
          <w:p>
            <w:pPr>
              <w:pStyle w:val="Compact"/>
              <w:jc w:val="left"/>
            </w:pPr>
            <w:r>
              <w:t xml:space="preserve">0.3 kg CO2e/kWh (Avg EU grid)</w:t>
            </w:r>
          </w:p>
        </w:tc>
        <w:tc>
          <w:tcPr/>
          <w:p>
            <w:pPr>
              <w:pStyle w:val="Compact"/>
              <w:jc w:val="left"/>
            </w:pPr>
            <w:r>
              <w:t xml:space="preserve">15.00</w:t>
            </w:r>
          </w:p>
        </w:tc>
      </w:tr>
      <w:tr>
        <w:tc>
          <w:tcPr>
            <w:vMerge w:val="restart"/>
          </w:tcPr>
          <w:p>
            <w:pPr>
              <w:pStyle w:val="Compact"/>
              <w:jc w:val="left"/>
            </w:pPr>
            <w:r>
              <w:rPr>
                <w:bCs/>
                <w:b/>
              </w:rPr>
              <w:t xml:space="preserve">End-of-Life Treatment</w:t>
            </w:r>
          </w:p>
        </w:tc>
        <w:tc>
          <w:tcPr/>
          <w:p>
            <w:pPr>
              <w:pStyle w:val="Compact"/>
              <w:jc w:val="left"/>
            </w:pPr>
            <w:r>
              <w:t xml:space="preserve">Scope 3, Category 12 (Recycling Credit)</w:t>
            </w:r>
          </w:p>
        </w:tc>
        <w:tc>
          <w:tcPr/>
          <w:p>
            <w:pPr>
              <w:pStyle w:val="Compact"/>
              <w:jc w:val="left"/>
            </w:pPr>
            <w:r>
              <w:t xml:space="preserve">0.736 kg (80% recycled)</w:t>
            </w:r>
          </w:p>
        </w:tc>
        <w:tc>
          <w:tcPr/>
          <w:p>
            <w:pPr>
              <w:pStyle w:val="Compact"/>
              <w:jc w:val="left"/>
            </w:pPr>
            <w:r>
              <w:t xml:space="preserve">Various avoided emissions factors for Al, Plastic, Cu, Circuit Board</w:t>
            </w:r>
          </w:p>
        </w:tc>
        <w:tc>
          <w:tcPr/>
          <w:p>
            <w:pPr>
              <w:pStyle w:val="Compact"/>
              <w:jc w:val="left"/>
            </w:pPr>
            <w:r>
              <w:t xml:space="preserve">-4.66</w:t>
            </w:r>
          </w:p>
        </w:tc>
      </w:tr>
      <w:tr>
        <w:tc>
          <w:tcPr>
            <w:gridSpan w:val="1"/>
            <w:vMerge w:val="continue"/>
          </w:tcPr>
          <w:p>
            <w:pPr/>
          </w:p>
        </w:tc>
        <w:tc>
          <w:tcPr/>
          <w:p>
            <w:pPr>
              <w:pStyle w:val="Compact"/>
              <w:jc w:val="left"/>
            </w:pPr>
            <w:r>
              <w:t xml:space="preserve">Scope 3, Category 12 (Landfill)</w:t>
            </w:r>
          </w:p>
        </w:tc>
        <w:tc>
          <w:tcPr/>
          <w:p>
            <w:pPr>
              <w:pStyle w:val="Compact"/>
              <w:jc w:val="left"/>
            </w:pPr>
            <w:r>
              <w:t xml:space="preserve">0.184 kg (20% disposed)</w:t>
            </w:r>
          </w:p>
        </w:tc>
        <w:tc>
          <w:tcPr/>
          <w:p>
            <w:pPr>
              <w:pStyle w:val="Compact"/>
              <w:jc w:val="left"/>
            </w:pPr>
            <w:r>
              <w:t xml:space="preserve">0.033 kg CO2e/kg (Plastic Landfill proxy)</w:t>
            </w:r>
          </w:p>
        </w:tc>
        <w:tc>
          <w:tcPr/>
          <w:p>
            <w:pPr>
              <w:pStyle w:val="Compact"/>
              <w:jc w:val="left"/>
            </w:pPr>
            <w:r>
              <w:t xml:space="preserve">0.01</w:t>
            </w:r>
          </w:p>
        </w:tc>
      </w:tr>
      <w:tr>
        <w:tc>
          <w:tcPr>
            <w:gridSpan w:val="4"/>
          </w:tcPr>
          <w:p>
            <w:pPr>
              <w:pStyle w:val="Compact"/>
              <w:jc w:val="left"/>
            </w:pPr>
            <w:r>
              <w:t xml:space="preserve">Total Product Carbon Footprint (Cradle-to-Grave)</w:t>
            </w:r>
          </w:p>
        </w:tc>
        <w:tc>
          <w:tcPr/>
          <w:p>
            <w:pPr>
              <w:pStyle w:val="Compact"/>
              <w:jc w:val="left"/>
            </w:pPr>
            <w:r>
              <w:rPr>
                <w:bCs/>
                <w:b/>
              </w:rPr>
              <w:t xml:space="preserve">22.35</w:t>
            </w:r>
          </w:p>
        </w:tc>
      </w:tr>
    </w:tbl>
    <w:p>
      <w:pPr>
        <w:pStyle w:val="BodyText"/>
      </w:pPr>
      <w:r>
        <w:rPr>
          <w:iCs/>
          <w:i/>
        </w:rPr>
        <w:t xml:space="preserve">Note: Totals may slightly vary due to rounding.</w:t>
      </w:r>
    </w:p>
    <w:bookmarkEnd w:id="31"/>
    <w:bookmarkStart w:id="32" w:name="summary-of-emissions-by-scope-kg-co2e"/>
    <w:p>
      <w:pPr>
        <w:pStyle w:val="Heading3"/>
      </w:pPr>
      <w:r>
        <w:t xml:space="preserve">Summary of Emissions by Scope (kg CO2e)</w:t>
      </w:r>
    </w:p>
    <w:p>
      <w:pPr>
        <w:numPr>
          <w:ilvl w:val="0"/>
          <w:numId w:val="1008"/>
        </w:numPr>
        <w:pStyle w:val="Compact"/>
      </w:pPr>
      <w:r>
        <w:rPr>
          <w:bCs/>
          <w:b/>
        </w:rPr>
        <w:t xml:space="preserve">Scope 1 (Direct Emissions):</w:t>
      </w:r>
      <w:r>
        <w:t xml:space="preserve"> </w:t>
      </w:r>
      <w:r>
        <w:t xml:space="preserve">0.00 kg CO2e (Assumed no direct emissions from manufacturing processes beyond purchased electricity, or negligible and covered by Scope 3 material factors)</w:t>
      </w:r>
    </w:p>
    <w:p>
      <w:pPr>
        <w:numPr>
          <w:ilvl w:val="0"/>
          <w:numId w:val="1008"/>
        </w:numPr>
        <w:pStyle w:val="Compact"/>
      </w:pPr>
      <w:r>
        <w:rPr>
          <w:bCs/>
          <w:b/>
        </w:rPr>
        <w:t xml:space="preserve">Scope 2 (Purchased Electricity):</w:t>
      </w:r>
      <w:r>
        <w:t xml:space="preserve"> </w:t>
      </w:r>
      <w:r>
        <w:t xml:space="preserve">2.60 kg CO2e</w:t>
      </w:r>
    </w:p>
    <w:p>
      <w:pPr>
        <w:numPr>
          <w:ilvl w:val="0"/>
          <w:numId w:val="1008"/>
        </w:numPr>
        <w:pStyle w:val="Compact"/>
      </w:pPr>
      <w:r>
        <w:rPr>
          <w:bCs/>
          <w:b/>
        </w:rPr>
        <w:t xml:space="preserve">Scope 3 (Value Chain Emissions):</w:t>
      </w:r>
      <w:r>
        <w:t xml:space="preserve"> </w:t>
      </w:r>
      <w:r>
        <w:t xml:space="preserve">19.75 kg CO2e (Materials: 9.13 + Transport: 0.22 + 0.05 + 0.00 + Use Phase: 15.00 + End-of-Life: -4.66 + 0.01)</w:t>
      </w:r>
    </w:p>
    <w:p>
      <w:pPr>
        <w:numPr>
          <w:ilvl w:val="0"/>
          <w:numId w:val="1008"/>
        </w:numPr>
        <w:pStyle w:val="Compact"/>
      </w:pPr>
      <w:r>
        <w:rPr>
          <w:bCs/>
          <w:b/>
        </w:rPr>
        <w:t xml:space="preserve">Total PCF:</w:t>
      </w:r>
      <w:r>
        <w:t xml:space="preserve"> </w:t>
      </w:r>
      <w:r>
        <w:t xml:space="preserve">22.35 kg CO2e</w:t>
      </w:r>
    </w:p>
    <w:p>
      <w:r>
        <w:pict>
          <v:rect style="width:0;height:1.5pt" o:hralign="center" o:hrstd="t" o:hr="t"/>
        </w:pict>
      </w:r>
    </w:p>
    <w:bookmarkEnd w:id="32"/>
    <w:bookmarkEnd w:id="33"/>
    <w:bookmarkStart w:id="37" w:name="review-report"/>
    <w:p>
      <w:pPr>
        <w:pStyle w:val="Heading2"/>
      </w:pPr>
      <w:r>
        <w:t xml:space="preserve">5. Review &amp; Report</w:t>
      </w:r>
    </w:p>
    <w:bookmarkStart w:id="34" w:name="emission-hotspots"/>
    <w:p>
      <w:pPr>
        <w:pStyle w:val="Heading3"/>
      </w:pPr>
      <w:r>
        <w:t xml:space="preserve">Emission Hotspots</w:t>
      </w:r>
    </w:p>
    <w:p>
      <w:pPr>
        <w:pStyle w:val="FirstParagraph"/>
      </w:pPr>
      <w:r>
        <w:t xml:space="preserve">The analysis identifies the following key emission hotspots for oygzjsuplz:</w:t>
      </w:r>
    </w:p>
    <w:p>
      <w:pPr>
        <w:numPr>
          <w:ilvl w:val="0"/>
          <w:numId w:val="1009"/>
        </w:numPr>
        <w:pStyle w:val="Compact"/>
      </w:pPr>
      <w:r>
        <w:rPr>
          <w:bCs/>
          <w:b/>
        </w:rPr>
        <w:t xml:space="preserve">Use Phase (15.00 kg CO2e):</w:t>
      </w:r>
      <w:r>
        <w:t xml:space="preserve"> </w:t>
      </w:r>
      <w:r>
        <w:t xml:space="preserve">This is the most significant contributor, primarily due to the product\'s energy consumption over its 5-year lifespan. This highlights the importance of improving energy efficiency during product operation.</w:t>
      </w:r>
    </w:p>
    <w:p>
      <w:pPr>
        <w:numPr>
          <w:ilvl w:val="0"/>
          <w:numId w:val="1009"/>
        </w:numPr>
        <w:pStyle w:val="Compact"/>
      </w:pPr>
      <w:r>
        <w:rPr>
          <w:bCs/>
          <w:b/>
        </w:rPr>
        <w:t xml:space="preserve">Materials Acquisition &amp; Pre-processing (9.13 kg CO2e):</w:t>
      </w:r>
      <w:r>
        <w:t xml:space="preserve"> </w:t>
      </w:r>
      <w:r>
        <w:t xml:space="preserve">The impact of raw materials, especially the Aluminum Casing with its higher emission factor, is substantial.</w:t>
      </w:r>
    </w:p>
    <w:p>
      <w:pPr>
        <w:numPr>
          <w:ilvl w:val="0"/>
          <w:numId w:val="1009"/>
        </w:numPr>
        <w:pStyle w:val="Compact"/>
      </w:pPr>
      <w:r>
        <w:rPr>
          <w:bCs/>
          <w:b/>
        </w:rPr>
        <w:t xml:space="preserve">Production (2.60 kg CO2e):</w:t>
      </w:r>
      <w:r>
        <w:t xml:space="preserve"> </w:t>
      </w:r>
      <w:r>
        <w:t xml:space="preserve">While less than the use phase or materials, the energy consumed during manufacturing still contributes a notable portion, even with 70% renewable energy usage.</w:t>
      </w:r>
    </w:p>
    <w:p>
      <w:pPr>
        <w:numPr>
          <w:ilvl w:val="0"/>
          <w:numId w:val="1009"/>
        </w:numPr>
        <w:pStyle w:val="Compact"/>
      </w:pPr>
      <w:r>
        <w:rPr>
          <w:bCs/>
          <w:b/>
        </w:rPr>
        <w:t xml:space="preserve">Transportation (0.27 kg CO2e):</w:t>
      </w:r>
      <w:r>
        <w:t xml:space="preserve"> </w:t>
      </w:r>
      <w:r>
        <w:t xml:space="preserve">Despite long distances, freight emissions are relatively low per unit due to efficient modes like ocean freight for bulk transport of raw materials and finished goods.</w:t>
      </w:r>
    </w:p>
    <w:p>
      <w:pPr>
        <w:numPr>
          <w:ilvl w:val="0"/>
          <w:numId w:val="1009"/>
        </w:numPr>
        <w:pStyle w:val="Compact"/>
      </w:pPr>
      <w:r>
        <w:rPr>
          <w:bCs/>
          <w:b/>
        </w:rPr>
        <w:t xml:space="preserve">End-of-Life (-4.65 kg CO2e):</w:t>
      </w:r>
      <w:r>
        <w:t xml:space="preserve"> </w:t>
      </w:r>
      <w:r>
        <w:t xml:space="preserve">The take-back and recycling programs contribute a significant net carbon credit, underscoring the positive impact of circular economy initiatives.</w:t>
      </w:r>
    </w:p>
    <w:bookmarkEnd w:id="34"/>
    <w:bookmarkStart w:id="35" w:name="reliability-and-data-quality"/>
    <w:p>
      <w:pPr>
        <w:pStyle w:val="Heading3"/>
      </w:pPr>
      <w:r>
        <w:t xml:space="preserve">Reliability and Data Quality</w:t>
      </w:r>
    </w:p>
    <w:p>
      <w:pPr>
        <w:pStyle w:val="FirstParagraph"/>
      </w:pPr>
      <w:r>
        <w:t xml:space="preserve">The calculations are based on specific data provided for the Bill of Materials, energy usage, and product lifespan, which enhances accuracy. Industry-average emission factors from recognized sources (e.g., those implicitly used for transport, electricity grids) have been applied for other parameters, aligning with best practices for PCF analysis. The consideration of 2026 GHG Protocol updates, particularly the 95% Scope 3 coverage goal, guides the comprehensive approach taken in this report. Achieving even higher data quality in the future would involve collecting primary data for all supply chain activities and specific energy mixes for each transportation leg.</w:t>
      </w:r>
    </w:p>
    <w:bookmarkEnd w:id="35"/>
    <w:bookmarkStart w:id="36" w:name="recommendations"/>
    <w:p>
      <w:pPr>
        <w:pStyle w:val="Heading3"/>
      </w:pPr>
      <w:r>
        <w:t xml:space="preserve">Recommendations</w:t>
      </w:r>
    </w:p>
    <w:p>
      <w:pPr>
        <w:pStyle w:val="FirstParagraph"/>
      </w:pPr>
      <w:r>
        <w:t xml:space="preserve">To further reduce the carbon footprint of oygzjsuplz, dlilhqetwt should consider:</w:t>
      </w:r>
    </w:p>
    <w:p>
      <w:pPr>
        <w:numPr>
          <w:ilvl w:val="0"/>
          <w:numId w:val="1010"/>
        </w:numPr>
        <w:pStyle w:val="Compact"/>
      </w:pPr>
      <w:r>
        <w:rPr>
          <w:bCs/>
          <w:b/>
        </w:rPr>
        <w:t xml:space="preserve">Enhance Use Phase Efficiency:</w:t>
      </w:r>
      <w:r>
        <w:t xml:space="preserve"> </w:t>
      </w:r>
      <w:r>
        <w:t xml:space="preserve">Focus on designing the next generation of oygzjsuplz to be significantly more energy-efficient during its operational lifespan. This could involve using lower-power components or implementing smart energy management features.</w:t>
      </w:r>
    </w:p>
    <w:p>
      <w:pPr>
        <w:numPr>
          <w:ilvl w:val="0"/>
          <w:numId w:val="1010"/>
        </w:numPr>
        <w:pStyle w:val="Compact"/>
      </w:pPr>
      <w:r>
        <w:rPr>
          <w:bCs/>
          <w:b/>
        </w:rPr>
        <w:t xml:space="preserve">Optimize Material Sourcing:</w:t>
      </w:r>
      <w:r>
        <w:t xml:space="preserve"> </w:t>
      </w:r>
      <w:r>
        <w:t xml:space="preserve">Investigate suppliers for high-impact materials (e.g., Aluminum, Circuit Board components) to identify options with lower embodied carbon, perhaps through increased use of recycled content in upstream processes or suppliers using 100% renewable energy.</w:t>
      </w:r>
    </w:p>
    <w:p>
      <w:pPr>
        <w:numPr>
          <w:ilvl w:val="0"/>
          <w:numId w:val="1010"/>
        </w:numPr>
        <w:pStyle w:val="Compact"/>
      </w:pPr>
      <w:r>
        <w:rPr>
          <w:bCs/>
          <w:b/>
        </w:rPr>
        <w:t xml:space="preserve">Boost Renewable Energy in Production:</w:t>
      </w:r>
      <w:r>
        <w:t xml:space="preserve"> </w:t>
      </w:r>
      <w:r>
        <w:t xml:space="preserve">While 70% renewable usage is good, striving for 100% renewable energy in manufacturing facilities or further supporting renewable energy projects in China can eliminate Scope 2 emissions.</w:t>
      </w:r>
    </w:p>
    <w:p>
      <w:pPr>
        <w:numPr>
          <w:ilvl w:val="0"/>
          <w:numId w:val="1010"/>
        </w:numPr>
        <w:pStyle w:val="Compact"/>
      </w:pPr>
      <w:r>
        <w:rPr>
          <w:bCs/>
          <w:b/>
        </w:rPr>
        <w:t xml:space="preserve">Expand Circularity:</w:t>
      </w:r>
      <w:r>
        <w:t xml:space="preserve"> </w:t>
      </w:r>
      <w:r>
        <w:t xml:space="preserve">Continue to strengthen take-back and recycling programs, potentially exploring closed-loop systems for key materials to maximize recycling rates and associated avoided emissions.</w:t>
      </w:r>
    </w:p>
    <w:p>
      <w:pPr>
        <w:numPr>
          <w:ilvl w:val="0"/>
          <w:numId w:val="1010"/>
        </w:numPr>
        <w:pStyle w:val="Compact"/>
      </w:pPr>
      <w:r>
        <w:rPr>
          <w:bCs/>
          <w:b/>
        </w:rPr>
        <w:t xml:space="preserve">Deepen Scope 3 Data Collection:</w:t>
      </w:r>
      <w:r>
        <w:t xml:space="preserve"> </w:t>
      </w:r>
      <w:r>
        <w:t xml:space="preserve">Work with key suppliers and logistics partners to gather more granular, primary data on their specific emissions, aligning with the GHG Protocol\'s push for increased data transparency and disaggregation.</w:t>
      </w:r>
    </w:p>
    <w:p>
      <w:r>
        <w:pict>
          <v:rect style="width:0;height:1.5pt" o:hralign="center" o:hrstd="t" o:hr="t"/>
        </w:pict>
      </w:r>
    </w:p>
    <w:bookmarkEnd w:id="36"/>
    <w:bookmarkEnd w:id="37"/>
    <w:bookmarkStart w:id="38" w:name="conclusion"/>
    <w:p>
      <w:pPr>
        <w:pStyle w:val="Heading2"/>
      </w:pPr>
      <w:r>
        <w:t xml:space="preserve">Conclusion</w:t>
      </w:r>
    </w:p>
    <w:p>
      <w:pPr>
        <w:pStyle w:val="FirstParagraph"/>
      </w:pPr>
      <w:r>
        <w:t xml:space="preserve">This detailed Product Carbon Footprint analysis provides dlilhqetwt with a robust understanding of the environmental impact of its oygzjsuplz product. By identifying the Use Phase and material inputs as primary drivers of emissions, targeted strategies can be developed to achieve substantial reductions. Adherence to GHG Protocol standards, including proactive consideration of the 2026 LSR and Scope 3 updates, ensures a credible and forward-looking approach to sustainability reporting and climate action.</w:t>
      </w:r>
    </w:p>
    <w:p>
      <w:r>
        <w:pict>
          <v:rect style="width:0;height:1.5pt" o:hralign="center" o:hrstd="t" o:hr="t"/>
        </w:pict>
      </w:r>
    </w:p>
    <w:bookmarkEnd w:id="38"/>
    <w:p>
      <w:pPr>
        <w:pStyle w:val="FirstParagraph"/>
      </w:pPr>
      <w:r>
        <w:t xml:space="preserve">Confidential - Internal Use Only | Page</w:t>
      </w:r>
      <w:r>
        <w:t xml:space="preserve"> </w:t>
      </w:r>
      <w:r>
        <w:t xml:space="preserve"> </w:t>
      </w:r>
      <w:r>
        <w:t xml:space="preserve">of</w:t>
      </w:r>
      <w:r>
        <w:t xml:space="preserve"> </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Analysis Report for oygzjsuplz - dlilhqetwt</dc:title>
  <dc:creator/>
  <dc:description>High-detail Product Carbon Footprint (PCF) analysis report for product oygzjsuplz, adhering to GHG Protocol standards and 2026 updates, prepared by Senior Sustainability Consultant mvsoyoqdvf for dlilhqetwt.</dc:description>
  <dc:language>en</dc:language>
  <cp:keywords/>
  <dcterms:created xsi:type="dcterms:W3CDTF">2026-07-15T10:24:30Z</dcterms:created>
  <dcterms:modified xsi:type="dcterms:W3CDTF">2026-07-15T10:24:30Z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