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omqemzuwud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omqemzuwud</w:t>
      </w:r>
    </w:p>
    <w:p>
      <w:pPr>
        <w:pStyle w:val="BodyText"/>
      </w:pPr>
      <w:r>
        <w:rPr>
          <w:bCs/>
          <w:b/>
        </w:rPr>
        <w:t xml:space="preserve">Company:</w:t>
      </w:r>
      <w:r>
        <w:t xml:space="preserve"> </w:t>
      </w:r>
      <w:r>
        <w:t xml:space="preserve">thexgigzke</w:t>
      </w:r>
    </w:p>
    <w:p>
      <w:pPr>
        <w:pStyle w:val="BodyText"/>
      </w:pPr>
      <w:r>
        <w:rPr>
          <w:bCs/>
          <w:b/>
        </w:rPr>
        <w:t xml:space="preserve">Senior Sustainability Consultant:</w:t>
      </w:r>
      <w:r>
        <w:t xml:space="preserve"> </w:t>
      </w:r>
      <w:r>
        <w:t xml:space="preserve">tuzihqjefy</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industry standards, and specific parameters provided by the client. Assumptions and estimations have been made where primary data was unavailable or unspecified, as detailed within the report. This analysis serves as an estimation of the product\'s carbon footprint.</w:t>
      </w:r>
    </w:p>
    <w:bookmarkEnd w:id="20"/>
    <w:bookmarkStart w:id="50" w:name="Xa87d010c1fd868336511b306fbd202996615f12"/>
    <w:p>
      <w:pPr>
        <w:pStyle w:val="Heading1"/>
      </w:pPr>
      <w:r>
        <w:t xml:space="preserve">Product Carbon Footprint Analysis Report</w:t>
      </w:r>
    </w:p>
    <w:p>
      <w:pPr>
        <w:pStyle w:val="FirstParagraph"/>
      </w:pPr>
      <w:r>
        <w:t xml:space="preserve">Generated Date: Wednesday, 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omqemzuwud</w:t>
      </w:r>
      <w:r>
        <w:t xml:space="preserve">, manufactured by</w:t>
      </w:r>
      <w:r>
        <w:t xml:space="preserve"> </w:t>
      </w:r>
      <w:r>
        <w:rPr>
          <w:bCs/>
          <w:b/>
        </w:rPr>
        <w:t xml:space="preserve">thexgigzke</w:t>
      </w:r>
      <w:r>
        <w:t xml:space="preserve">. The analysis, conducted by</w:t>
      </w:r>
      <w:r>
        <w:t xml:space="preserve"> </w:t>
      </w:r>
      <w:r>
        <w:rPr>
          <w:bCs/>
          <w:b/>
        </w:rPr>
        <w:t xml:space="preserve">tuzihqjefy</w:t>
      </w:r>
      <w:r>
        <w:t xml:space="preserve">, a Senior Sustainability Consultant specializing in GHG Protocol, adheres to the GHG Protocol accounting standard, incorporating the latest 2026 Land Sector and Removals (LSR) Standard updates and stringent Scope 3 compliance requirements. The PCF is calculated for a functional unit of 1.0 unit of omqemzuwud, following a cradle-to-grave approach with a system boundary defined at the factory gate for primary emissions. The geographic scope focuses on China for final production and Europe for supply chain distribution. The total Product Carbon Footprint for one unit of omqemzuwud is estimated to be</w:t>
      </w:r>
      <w:r>
        <w:t xml:space="preserve"> </w:t>
      </w:r>
      <w:r>
        <w:rPr>
          <w:bCs/>
          <w:b/>
        </w:rPr>
        <w:t xml:space="preserve">14.50 kg CO2e</w:t>
      </w:r>
      <w:r>
        <w:t xml:space="preserve">.</w:t>
      </w:r>
    </w:p>
    <w:p>
      <w:r>
        <w:pict>
          <v:rect style="width:0;height:1.5pt" o:hralign="center" o:hrstd="t" o:hr="t"/>
        </w:pict>
      </w:r>
    </w:p>
    <w:bookmarkEnd w:id="21"/>
    <w:bookmarkStart w:id="27" w:name="defining-the-scope"/>
    <w:p>
      <w:pPr>
        <w:pStyle w:val="Heading2"/>
      </w:pPr>
      <w:r>
        <w:t xml:space="preserve">1. Defining the Scope</w:t>
      </w:r>
    </w:p>
    <w:p>
      <w:pPr>
        <w:pStyle w:val="FirstParagraph"/>
      </w:pPr>
      <w:r>
        <w:t xml:space="preserve">The foundation of this Product Carbon Footprint (PCF) analysis for</w:t>
      </w:r>
      <w:r>
        <w:t xml:space="preserve"> </w:t>
      </w:r>
      <w:r>
        <w:rPr>
          <w:bCs/>
          <w:b/>
        </w:rPr>
        <w:t xml:space="preserve">omqemzuwud</w:t>
      </w:r>
      <w:r>
        <w:t xml:space="preserve"> </w:t>
      </w:r>
      <w:r>
        <w:t xml:space="preserve">is built upon a clearly defined scope, in accordance with the</w:t>
      </w:r>
      <w:r>
        <w:t xml:space="preserve"> </w:t>
      </w:r>
      <w:r>
        <w:rPr>
          <w:bCs/>
          <w:b/>
        </w:rPr>
        <w:t xml:space="preserve">GHG Protocol</w:t>
      </w:r>
      <w:r>
        <w:t xml:space="preserve"> </w:t>
      </w:r>
      <w:r>
        <w:t xml:space="preserve">standards.</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omqemzuwud</w:t>
      </w:r>
      <w:r>
        <w:t xml:space="preserve">. All emissions are quantified relative to this single unit of product.</w:t>
      </w:r>
    </w:p>
    <w:bookmarkEnd w:id="22"/>
    <w:bookmarkStart w:id="23" w:name="system-boundary"/>
    <w:p>
      <w:pPr>
        <w:pStyle w:val="Heading3"/>
      </w:pPr>
      <w:r>
        <w:t xml:space="preserve">1.2 System Boundary</w:t>
      </w:r>
    </w:p>
    <w:p>
      <w:pPr>
        <w:pStyle w:val="FirstParagraph"/>
      </w:pPr>
      <w:r>
        <w:t xml:space="preserve">The system boundary adopted is "factory_gate" for direct operational control, expanding to a comprehensive "cradle-to-grave" assessment for the full lifecycle. This includes:</w:t>
      </w:r>
    </w:p>
    <w:p>
      <w:pPr>
        <w:numPr>
          <w:ilvl w:val="0"/>
          <w:numId w:val="1001"/>
        </w:numPr>
        <w:pStyle w:val="Compact"/>
      </w:pPr>
      <w:r>
        <w:rPr>
          <w:bCs/>
          <w:b/>
        </w:rPr>
        <w:t xml:space="preserve">Upstream (Raw Material Acquisition &amp; Pre-processing):</w:t>
      </w:r>
      <w:r>
        <w:t xml:space="preserve"> </w:t>
      </w:r>
      <w:r>
        <w:t xml:space="preserve">Extraction, processing, and transportation of raw materials and components.</w:t>
      </w:r>
    </w:p>
    <w:p>
      <w:pPr>
        <w:numPr>
          <w:ilvl w:val="0"/>
          <w:numId w:val="1001"/>
        </w:numPr>
        <w:pStyle w:val="Compact"/>
      </w:pPr>
      <w:r>
        <w:rPr>
          <w:bCs/>
          <w:b/>
        </w:rPr>
        <w:t xml:space="preserve">Core Process (Production):</w:t>
      </w:r>
      <w:r>
        <w:t xml:space="preserve"> </w:t>
      </w:r>
      <w:r>
        <w:t xml:space="preserve">Manufacturing activities at the</w:t>
      </w:r>
      <w:r>
        <w:t xml:space="preserve"> </w:t>
      </w:r>
      <w:r>
        <w:rPr>
          <w:bCs/>
          <w:b/>
        </w:rPr>
        <w:t xml:space="preserve">thexgigzke</w:t>
      </w:r>
      <w:r>
        <w:t xml:space="preserve"> </w:t>
      </w:r>
      <w:r>
        <w:t xml:space="preserve">facility in China, including energy consumption.</w:t>
      </w:r>
    </w:p>
    <w:p>
      <w:pPr>
        <w:numPr>
          <w:ilvl w:val="0"/>
          <w:numId w:val="1001"/>
        </w:numPr>
        <w:pStyle w:val="Compact"/>
      </w:pPr>
      <w:r>
        <w:rPr>
          <w:bCs/>
          <w:b/>
        </w:rPr>
        <w:t xml:space="preserve">Downstream (Distribution, Use, End-of-Life):</w:t>
      </w:r>
      <w:r>
        <w:t xml:space="preserve"> </w:t>
      </w:r>
      <w:r>
        <w:t xml:space="preserve">Transportation to customers, energy consumption during product use, and end-of-life treatment (recycling, disposal).</w:t>
      </w:r>
    </w:p>
    <w:bookmarkEnd w:id="23"/>
    <w:bookmarkStart w:id="24" w:name="geographic-scope"/>
    <w:p>
      <w:pPr>
        <w:pStyle w:val="Heading3"/>
      </w:pPr>
      <w:r>
        <w:t xml:space="preserve">1.3 Geographic Scope</w:t>
      </w:r>
    </w:p>
    <w:p>
      <w:pPr>
        <w:pStyle w:val="FirstParagraph"/>
      </w:pPr>
      <w:r>
        <w:t xml:space="preserve">The geographic scope is defined as: Final Production Country: China, with a Supply Chain Focus: Europe Focused. This influences the selection of country-specific emission factors for energy grids and transportation networks.</w:t>
      </w:r>
    </w:p>
    <w:bookmarkEnd w:id="24"/>
    <w:bookmarkStart w:id="25" w:name="allocation"/>
    <w:p>
      <w:pPr>
        <w:pStyle w:val="Heading3"/>
      </w:pPr>
      <w:r>
        <w:t xml:space="preserve">1.4 Allocation</w:t>
      </w:r>
    </w:p>
    <w:p>
      <w:pPr>
        <w:pStyle w:val="FirstParagraph"/>
      </w:pPr>
      <w:r>
        <w:t xml:space="preserve">Allocation of emissions for co-products or by-products is performed on a mass basis where applicable, following GHG Protocol guidance. Where specific allocation data is unavailable, conservative estimates are applied to ensure completeness.</w:t>
      </w:r>
    </w:p>
    <w:bookmarkEnd w:id="25"/>
    <w:bookmarkStart w:id="26" w:name="accounting-standard"/>
    <w:p>
      <w:pPr>
        <w:pStyle w:val="Heading3"/>
      </w:pPr>
      <w:r>
        <w:t xml:space="preserve">1.5 Accounting Standard</w:t>
      </w:r>
    </w:p>
    <w:p>
      <w:pPr>
        <w:pStyle w:val="FirstParagraph"/>
      </w:pPr>
      <w:r>
        <w:t xml:space="preserve">This analysis strictly adheres to the</w:t>
      </w:r>
      <w:r>
        <w:t xml:space="preserve"> </w:t>
      </w:r>
      <w:r>
        <w:rPr>
          <w:bCs/>
          <w:b/>
        </w:rPr>
        <w:t xml:space="preserve">GHG Protocol</w:t>
      </w:r>
      <w:r>
        <w:t xml:space="preserve"> </w:t>
      </w:r>
      <w:r>
        <w:t xml:space="preserve">(A Corporate Accounting and Reporting Standard and Corporate Value Chain (Scope 3) Accounting and Reporting Standard), ensuring consistent, transparent, and credible greenhouse gas emissions quantification. All emissions are categorized into Scope 1, Scope 2, and Scope 3.</w:t>
      </w:r>
    </w:p>
    <w:p>
      <w:r>
        <w:pict>
          <v:rect style="width:0;height:1.5pt" o:hralign="center" o:hrstd="t" o:hr="t"/>
        </w:pict>
      </w:r>
    </w:p>
    <w:bookmarkEnd w:id="26"/>
    <w:bookmarkEnd w:id="27"/>
    <w:bookmarkStart w:id="34" w:name="Xd9a70c659bfcd295e1cdb6c2eb7ab1139a4e8cf"/>
    <w:p>
      <w:pPr>
        <w:pStyle w:val="Heading2"/>
      </w:pPr>
      <w:r>
        <w:t xml:space="preserve">2. Lifecycle Mapping and Data Collection (LCI Inventory Stages)</w:t>
      </w:r>
    </w:p>
    <w:p>
      <w:pPr>
        <w:pStyle w:val="FirstParagraph"/>
      </w:pPr>
      <w:r>
        <w:t xml:space="preserve">A detailed mapping of the lifecycle of</w:t>
      </w:r>
      <w:r>
        <w:t xml:space="preserve"> </w:t>
      </w:r>
      <w:r>
        <w:rPr>
          <w:bCs/>
          <w:b/>
        </w:rPr>
        <w:t xml:space="preserve">omqemzuwud</w:t>
      </w:r>
      <w:r>
        <w:t xml:space="preserve"> </w:t>
      </w:r>
      <w:r>
        <w:t xml:space="preserve">was performed, identifying key stages and necessary data points for accurate emissions quantification. For the purpose of this report, specific placeholder values provided in the prompt (e.g., `szqpzsor`, `Select Mode`, `poseqphnut`, `Delivery Type`, `oyfulqthnt`, `epliiquwvk`, `siwzwvrrns`, `dstsgdjvei`, `pxshkgdxhs`, `ixsdpzlzes`) have been replaced with illustrative or assumed quantitative data to demonstrate the analytical methodology. These assumptions are clearly stated below.</w:t>
      </w:r>
    </w:p>
    <w:bookmarkStart w:id="28" w:name="X4680f8afc8240cbfeeb10b5c91f6293ef30cb5f"/>
    <w:p>
      <w:pPr>
        <w:pStyle w:val="Heading3"/>
      </w:pPr>
      <w:r>
        <w:t xml:space="preserve">2.1 Materials Acquisition &amp; Pre-processing (Scope 3, Category 1)</w:t>
      </w:r>
    </w:p>
    <w:p>
      <w:pPr>
        <w:pStyle w:val="FirstParagraph"/>
      </w:pPr>
      <w:r>
        <w:t xml:space="preserve">The Bill of Materials (BOM), referred to as `szqpzsor` in the prompt, is crucial for calculating the material impact. As the literal content of `szqpzsor` was not provided, an illustrative BOM adhering to the specified format (ID, Description, Category, Process, Qty, Unit, Emission Factor, Total Carbon) has been constructed for calculation purposes. These values are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Battery Production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20.0</w:t>
            </w:r>
          </w:p>
        </w:tc>
        <w:tc>
          <w:tcPr/>
          <w:p>
            <w:pPr>
              <w:pStyle w:val="Compact"/>
              <w:jc w:val="left"/>
            </w:pPr>
            <w:r>
              <w:t xml:space="preserve">0.60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Pulping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gridSpan w:val="7"/>
          </w:tcPr>
          <w:p>
            <w:pPr>
              <w:pStyle w:val="Compact"/>
              <w:jc w:val="right"/>
            </w:pPr>
            <w:r>
              <w:t xml:space="preserve">Total Material Weight:</w:t>
            </w:r>
          </w:p>
        </w:tc>
        <w:tc>
          <w:tcPr/>
          <w:p>
            <w:pPr>
              <w:pStyle w:val="Compact"/>
              <w:jc w:val="left"/>
            </w:pPr>
            <w:r>
              <w:t xml:space="preserve">0.39 kg</w:t>
            </w:r>
          </w:p>
        </w:tc>
      </w:tr>
      <w:tr>
        <w:tc>
          <w:tcPr>
            <w:gridSpan w:val="7"/>
          </w:tcPr>
          <w:p>
            <w:pPr>
              <w:pStyle w:val="Compact"/>
              <w:jc w:val="right"/>
            </w:pPr>
            <w:r>
              <w:t xml:space="preserve">Total Material Carbon Impact:</w:t>
            </w:r>
          </w:p>
        </w:tc>
        <w:tc>
          <w:tcPr/>
          <w:p>
            <w:pPr>
              <w:pStyle w:val="Compact"/>
              <w:jc w:val="left"/>
            </w:pPr>
            <w:r>
              <w:t xml:space="preserve">2.22 kg CO2e</w:t>
            </w:r>
          </w:p>
        </w:tc>
      </w:tr>
    </w:tbl>
    <w:p>
      <w:pPr>
        <w:pStyle w:val="BodyText"/>
      </w:pPr>
      <w:r>
        <w:rPr>
          <w:iCs/>
          <w:i/>
        </w:rPr>
        <w:t xml:space="preserve">Note: The above BOM data is illustrative, created to adhere to the specified format for `szqpzsor` and enable calculation in the absence of its literal content in the prompt.</w:t>
      </w:r>
    </w:p>
    <w:bookmarkEnd w:id="28"/>
    <w:bookmarkStart w:id="29" w:name="manufacturing-production-phase"/>
    <w:p>
      <w:pPr>
        <w:pStyle w:val="Heading3"/>
      </w:pPr>
      <w:r>
        <w:t xml:space="preserve">2.2 Manufacturing (Production Phase)</w:t>
      </w:r>
    </w:p>
    <w:p>
      <w:pPr>
        <w:pStyle w:val="FirstParagraph"/>
      </w:pPr>
      <w:r>
        <w:t xml:space="preserve">The production phase for</w:t>
      </w:r>
      <w:r>
        <w:t xml:space="preserve"> </w:t>
      </w:r>
      <w:r>
        <w:rPr>
          <w:bCs/>
          <w:b/>
        </w:rPr>
        <w:t xml:space="preserve">omqemzuwud</w:t>
      </w:r>
      <w:r>
        <w:t xml:space="preserve"> </w:t>
      </w:r>
      <w:r>
        <w:t xml:space="preserve">occurs in China. Key energy inputs and their customization data are incorporated:</w:t>
      </w:r>
    </w:p>
    <w:p>
      <w:pPr>
        <w:numPr>
          <w:ilvl w:val="0"/>
          <w:numId w:val="1002"/>
        </w:numPr>
        <w:pStyle w:val="Compact"/>
      </w:pPr>
      <w:r>
        <w:rPr>
          <w:bCs/>
          <w:b/>
        </w:rPr>
        <w:t xml:space="preserve">Renewable Energy Usage (`oyfulqthnt`):</w:t>
      </w:r>
      <w:r>
        <w:t xml:space="preserve"> </w:t>
      </w:r>
      <w:r>
        <w:t xml:space="preserve">Assumed as 50%.</w:t>
      </w:r>
    </w:p>
    <w:p>
      <w:pPr>
        <w:numPr>
          <w:ilvl w:val="0"/>
          <w:numId w:val="1002"/>
        </w:numPr>
        <w:pStyle w:val="Compact"/>
      </w:pPr>
      <w:r>
        <w:rPr>
          <w:bCs/>
          <w:b/>
        </w:rPr>
        <w:t xml:space="preserve">Energy Intensity (`epliiquwvk`):</w:t>
      </w:r>
      <w:r>
        <w:t xml:space="preserve"> </w:t>
      </w:r>
      <w:r>
        <w:t xml:space="preserve">Assumed as 5 kWh/unit.</w:t>
      </w:r>
    </w:p>
    <w:p>
      <w:pPr>
        <w:numPr>
          <w:ilvl w:val="0"/>
          <w:numId w:val="1002"/>
        </w:numPr>
        <w:pStyle w:val="Compact"/>
      </w:pPr>
      <w:r>
        <w:rPr>
          <w:bCs/>
          <w:b/>
        </w:rPr>
        <w:t xml:space="preserve">China Electricity Grid Emission Factor:</w:t>
      </w:r>
      <w:r>
        <w:t xml:space="preserve"> </w:t>
      </w:r>
      <w:r>
        <w:t xml:space="preserve">A weighted average of 0.6 kg CO2e/kWh is used, based on values from the IEA (0.6093 kgCO2/kWh in 2021) and China\'s Ministry of Ecology and Environment (0.5568 kg CO2/kWh in 2021).</w:t>
      </w:r>
    </w:p>
    <w:bookmarkEnd w:id="29"/>
    <w:bookmarkStart w:id="30" w:name="X2c5c18a900efdb073ddd5da42b1da5f305898a4"/>
    <w:p>
      <w:pPr>
        <w:pStyle w:val="Heading3"/>
      </w:pPr>
      <w:r>
        <w:t xml:space="preserve">2.3 Transportation &amp; Distribution (Scope 3, Category 4)</w:t>
      </w:r>
    </w:p>
    <w:p>
      <w:pPr>
        <w:pStyle w:val="FirstParagraph"/>
      </w:pPr>
      <w:r>
        <w:t xml:space="preserve">Logistics data is specifically incorporated into the supply chain analysis. Assumptions for illustrative calculations are:</w:t>
      </w:r>
    </w:p>
    <w:p>
      <w:pPr>
        <w:numPr>
          <w:ilvl w:val="0"/>
          <w:numId w:val="1003"/>
        </w:numPr>
        <w:pStyle w:val="Compact"/>
      </w:pPr>
      <w:r>
        <w:rPr>
          <w:bCs/>
          <w:b/>
        </w:rPr>
        <w:t xml:space="preserve">Primary Transport Mode (`Select Mode`):</w:t>
      </w:r>
      <w:r>
        <w:t xml:space="preserve"> </w:t>
      </w:r>
      <w:r>
        <w:t xml:space="preserve">Assumed as Road Freight (Heavy Goods Vehicle, HGV). An emission factor of 0.092 kg CO2e/tonne-km (Well-to-Wheel) for HGV (&gt;20t) in Europe is applied for long-haul freight.</w:t>
      </w:r>
    </w:p>
    <w:p>
      <w:pPr>
        <w:numPr>
          <w:ilvl w:val="0"/>
          <w:numId w:val="1003"/>
        </w:numPr>
        <w:pStyle w:val="Compact"/>
      </w:pPr>
      <w:r>
        <w:rPr>
          <w:bCs/>
          <w:b/>
        </w:rPr>
        <w:t xml:space="preserve">Transport Distance (`poseqphnut`):</w:t>
      </w:r>
      <w:r>
        <w:t xml:space="preserve"> </w:t>
      </w:r>
      <w:r>
        <w:t xml:space="preserve">Assumed as 1000 km for inbound raw materials/components to China, and 500 km for finished product distribution within Europe.</w:t>
      </w:r>
    </w:p>
    <w:p>
      <w:pPr>
        <w:numPr>
          <w:ilvl w:val="0"/>
          <w:numId w:val="1003"/>
        </w:numPr>
        <w:pStyle w:val="Compact"/>
      </w:pPr>
      <w:r>
        <w:rPr>
          <w:bCs/>
          <w:b/>
        </w:rPr>
        <w:t xml:space="preserve">Last-Mile Delivery Channel (`Delivery Type`):</w:t>
      </w:r>
      <w:r>
        <w:t xml:space="preserve"> </w:t>
      </w:r>
      <w:r>
        <w:t xml:space="preserve">Assumed as Van Delivery for a distance of 50 km. A scaled emission factor of 0.000105 kg CO2e/kg/km is used for last-mile delivery, derived from a 2kg package over 1000km generating 0.21 kg CO2e.</w:t>
      </w:r>
    </w:p>
    <w:p>
      <w:pPr>
        <w:numPr>
          <w:ilvl w:val="0"/>
          <w:numId w:val="1003"/>
        </w:numPr>
        <w:pStyle w:val="Compact"/>
      </w:pPr>
      <w:r>
        <w:rPr>
          <w:bCs/>
          <w:b/>
        </w:rPr>
        <w:t xml:space="preserve">Product Weight for Transport:</w:t>
      </w:r>
      <w:r>
        <w:t xml:space="preserve"> </w:t>
      </w:r>
      <w:r>
        <w:t xml:space="preserve">Total material weight of 0.39 kg per unit.</w:t>
      </w:r>
    </w:p>
    <w:bookmarkEnd w:id="30"/>
    <w:bookmarkStart w:id="31" w:name="use-phase-scope-3-category-11"/>
    <w:p>
      <w:pPr>
        <w:pStyle w:val="Heading3"/>
      </w:pPr>
      <w:r>
        <w:t xml:space="preserve">2.4 Use Phase (Scope 3, Category 11)</w:t>
      </w:r>
    </w:p>
    <w:p>
      <w:pPr>
        <w:pStyle w:val="FirstParagraph"/>
      </w:pPr>
      <w:r>
        <w:t xml:space="preserve">The use phase calculation expands using specific durability and consumption data:</w:t>
      </w:r>
    </w:p>
    <w:p>
      <w:pPr>
        <w:numPr>
          <w:ilvl w:val="0"/>
          <w:numId w:val="1004"/>
        </w:numPr>
        <w:pStyle w:val="Compact"/>
      </w:pPr>
      <w:r>
        <w:rPr>
          <w:bCs/>
          <w:b/>
        </w:rPr>
        <w:t xml:space="preserve">Product Lifespan (`siwzwvrrns`):</w:t>
      </w:r>
      <w:r>
        <w:t xml:space="preserve"> </w:t>
      </w:r>
      <w:r>
        <w:t xml:space="preserve">Assumed as 3 years.</w:t>
      </w:r>
    </w:p>
    <w:p>
      <w:pPr>
        <w:numPr>
          <w:ilvl w:val="0"/>
          <w:numId w:val="1004"/>
        </w:numPr>
        <w:pStyle w:val="Compact"/>
      </w:pPr>
      <w:r>
        <w:rPr>
          <w:bCs/>
          <w:b/>
        </w:rPr>
        <w:t xml:space="preserve">Energy Consumption in Use (`dstsgdjvei`):</w:t>
      </w:r>
      <w:r>
        <w:t xml:space="preserve"> </w:t>
      </w:r>
      <w:r>
        <w:t xml:space="preserve">Assumed as 10 kWh/year.</w:t>
      </w:r>
    </w:p>
    <w:p>
      <w:pPr>
        <w:numPr>
          <w:ilvl w:val="0"/>
          <w:numId w:val="1004"/>
        </w:numPr>
        <w:pStyle w:val="Compact"/>
      </w:pPr>
      <w:r>
        <w:rPr>
          <w:bCs/>
          <w:b/>
        </w:rPr>
        <w:t xml:space="preserve">Average Electricity Emission Factor (Use Phase):</w:t>
      </w:r>
      <w:r>
        <w:t xml:space="preserve"> </w:t>
      </w:r>
      <w:r>
        <w:t xml:space="preserve">A conservative global average of 0.4 kg CO2e/kWh is applied for electricity consumed during the use phase.</w:t>
      </w:r>
    </w:p>
    <w:bookmarkEnd w:id="31"/>
    <w:bookmarkStart w:id="32" w:name="end-of-life-eol-scope-3-category-12"/>
    <w:p>
      <w:pPr>
        <w:pStyle w:val="Heading3"/>
      </w:pPr>
      <w:r>
        <w:t xml:space="preserve">2.5 End-of-Life (EoL) (Scope 3, Category 12)</w:t>
      </w:r>
    </w:p>
    <w:p>
      <w:pPr>
        <w:pStyle w:val="FirstParagraph"/>
      </w:pPr>
      <w:r>
        <w:t xml:space="preserve">End-of-Life (EoL) scenarios are incorporated to reflect circular economy impacts:</w:t>
      </w:r>
    </w:p>
    <w:p>
      <w:pPr>
        <w:numPr>
          <w:ilvl w:val="0"/>
          <w:numId w:val="1005"/>
        </w:numPr>
        <w:pStyle w:val="Compact"/>
      </w:pPr>
      <w:r>
        <w:rPr>
          <w:bCs/>
          <w:b/>
        </w:rPr>
        <w:t xml:space="preserve">Recyclability Percentage (`pxshkgdxhs`):</w:t>
      </w:r>
      <w:r>
        <w:t xml:space="preserve"> </w:t>
      </w:r>
      <w:r>
        <w:t xml:space="preserve">Assumed as 70%.</w:t>
      </w:r>
    </w:p>
    <w:p>
      <w:pPr>
        <w:numPr>
          <w:ilvl w:val="0"/>
          <w:numId w:val="1005"/>
        </w:numPr>
        <w:pStyle w:val="Compact"/>
      </w:pPr>
      <w:r>
        <w:rPr>
          <w:bCs/>
          <w:b/>
        </w:rPr>
        <w:t xml:space="preserve">Circular/Take-back Programs (`ixsdpzlzes`):</w:t>
      </w:r>
      <w:r>
        <w:t xml:space="preserve"> </w:t>
      </w:r>
      <w:r>
        <w:t xml:space="preserve">Presence of product refurbishment programs is noted, contributing positively to circularity by potentially extending lifespan or enabling reuse.</w:t>
      </w:r>
    </w:p>
    <w:p>
      <w:pPr>
        <w:numPr>
          <w:ilvl w:val="0"/>
          <w:numId w:val="1005"/>
        </w:numPr>
        <w:pStyle w:val="Compact"/>
      </w:pPr>
      <w:r>
        <w:rPr>
          <w:bCs/>
          <w:b/>
        </w:rPr>
        <w:t xml:space="preserve">Avoided Emissions (Recycling):</w:t>
      </w:r>
      <w:r>
        <w:t xml:space="preserve"> </w:t>
      </w:r>
      <w:r>
        <w:t xml:space="preserve">An average avoided emission factor of 2.0 kg CO2e/kg for recycled materials (displacing virgin production) is used. Recycling of plastics can reduce emissions by 1.10–3.00 tonnes CO2-eq./tonne plastic.</w:t>
      </w:r>
    </w:p>
    <w:p>
      <w:pPr>
        <w:numPr>
          <w:ilvl w:val="0"/>
          <w:numId w:val="1005"/>
        </w:numPr>
        <w:pStyle w:val="Compact"/>
      </w:pPr>
      <w:r>
        <w:rPr>
          <w:bCs/>
          <w:b/>
        </w:rPr>
        <w:t xml:space="preserve">Disposal Emissions (Non-Recycled):</w:t>
      </w:r>
      <w:r>
        <w:t xml:space="preserve"> </w:t>
      </w:r>
      <w:r>
        <w:t xml:space="preserve">An average disposal emission factor of 1.5 kg CO2e/kg for incineration is used for materials not recycled. Incineration can result in 0.673 to 4.605 kg of CO₂ per kg of plastic.</w:t>
      </w:r>
    </w:p>
    <w:bookmarkEnd w:id="32"/>
    <w:bookmarkStart w:id="33" w:name="data-collection-summary"/>
    <w:p>
      <w:pPr>
        <w:pStyle w:val="Heading3"/>
      </w:pPr>
      <w:r>
        <w:t xml:space="preserve">2.6 Data Collection Summary</w:t>
      </w:r>
    </w:p>
    <w:p>
      <w:pPr>
        <w:pStyle w:val="FirstParagraph"/>
      </w:pPr>
      <w:r>
        <w:t xml:space="preserve">Primary data points (e.g., energy intensity for production) are derived from the provided parameters. Secondary data points (e.g., emission factors for materials, transport, and grid electricity) are sourced from industry-standard databases like Ecoinvent and DEFRA, as indicated in the respective calculations and citations.</w:t>
      </w:r>
    </w:p>
    <w:p>
      <w:r>
        <w:pict>
          <v:rect style="width:0;height:1.5pt" o:hralign="center" o:hrstd="t" o:hr="t"/>
        </w:pict>
      </w:r>
    </w:p>
    <w:bookmarkEnd w:id="33"/>
    <w:bookmarkEnd w:id="34"/>
    <w:bookmarkStart w:id="45" w:name="emission-calculation"/>
    <w:p>
      <w:pPr>
        <w:pStyle w:val="Heading2"/>
      </w:pPr>
      <w:r>
        <w:t xml:space="preserve">3. Emission Calculation</w:t>
      </w:r>
    </w:p>
    <w:p>
      <w:pPr>
        <w:pStyle w:val="FirstParagraph"/>
      </w:pPr>
      <w:r>
        <w:t xml:space="preserve">Emissions are calculated for each lifecycle stage (Activity * Emission Factor = CO2e) and categorized according to the GHG Protocol\'s Scope 1, 2, and 3 definitions. All calculations are for a functional unit of 1.0 unit of</w:t>
      </w:r>
      <w:r>
        <w:t xml:space="preserve"> </w:t>
      </w:r>
      <w:r>
        <w:rPr>
          <w:bCs/>
          <w:b/>
        </w:rPr>
        <w:t xml:space="preserve">omqemzuwud</w:t>
      </w:r>
      <w:r>
        <w:t xml:space="preserve">.</w:t>
      </w:r>
    </w:p>
    <w:bookmarkStart w:id="35" w:name="scope-1-emissions-direct-emissions"/>
    <w:p>
      <w:pPr>
        <w:pStyle w:val="Heading3"/>
      </w:pPr>
      <w:r>
        <w:t xml:space="preserve">3.1 Scope 1 Emissions (Direct Emissions)</w:t>
      </w:r>
    </w:p>
    <w:p>
      <w:pPr>
        <w:pStyle w:val="FirstParagraph"/>
      </w:pPr>
      <w:r>
        <w:t xml:space="preserve">Based on the "factory_gate" system boundary and the nature of the product, direct emissions from owned or controlled sources (e.g., on-site fuel combustion) are considered negligible or not explicitly provided within the given parameters for this specific product\'s PCF. Therefore, Scope 1 emissions are assumed to be 0.0 kg CO2e for this analysis.</w:t>
      </w:r>
    </w:p>
    <w:bookmarkEnd w:id="35"/>
    <w:bookmarkStart w:id="36" w:name="scope-2-emissions-purchased-energy"/>
    <w:p>
      <w:pPr>
        <w:pStyle w:val="Heading3"/>
      </w:pPr>
      <w:r>
        <w:t xml:space="preserve">3.2 Scope 2 Emissions (Purchased Energy)</w:t>
      </w:r>
    </w:p>
    <w:p>
      <w:pPr>
        <w:pStyle w:val="FirstParagraph"/>
      </w:pPr>
      <w:r>
        <w:t xml:space="preserve">Scope 2 emissions account for indirect emissions from the generation of purchased electricity, heat, or steam consumed by</w:t>
      </w:r>
      <w:r>
        <w:t xml:space="preserve"> </w:t>
      </w:r>
      <w:r>
        <w:rPr>
          <w:bCs/>
          <w:b/>
        </w:rPr>
        <w:t xml:space="preserve">thexgigzke</w:t>
      </w:r>
      <w:r>
        <w:t xml:space="preserve"> </w:t>
      </w:r>
      <w:r>
        <w:t xml:space="preserve">in China for manufacturing</w:t>
      </w:r>
      <w:r>
        <w:t xml:space="preserve"> </w:t>
      </w:r>
      <w:r>
        <w:rPr>
          <w:bCs/>
          <w:b/>
        </w:rPr>
        <w:t xml:space="preserve">omqemzuwud</w:t>
      </w:r>
      <w:r>
        <w:t xml:space="preserve">.</w:t>
      </w:r>
    </w:p>
    <w:p>
      <w:pPr>
        <w:numPr>
          <w:ilvl w:val="0"/>
          <w:numId w:val="1006"/>
        </w:numPr>
        <w:pStyle w:val="Compact"/>
      </w:pPr>
      <w:r>
        <w:t xml:space="preserve">Energy Intensity (`epliiquwvk`): 5 kWh/unit</w:t>
      </w:r>
    </w:p>
    <w:p>
      <w:pPr>
        <w:numPr>
          <w:ilvl w:val="0"/>
          <w:numId w:val="1006"/>
        </w:numPr>
        <w:pStyle w:val="Compact"/>
      </w:pPr>
      <w:r>
        <w:t xml:space="preserve">Renewable Energy Usage (`oyfulqthnt`): 50%</w:t>
      </w:r>
    </w:p>
    <w:p>
      <w:pPr>
        <w:numPr>
          <w:ilvl w:val="0"/>
          <w:numId w:val="1006"/>
        </w:numPr>
        <w:pStyle w:val="Compact"/>
      </w:pPr>
      <w:r>
        <w:t xml:space="preserve">Non-renewable energy consumed: 5 kWh/unit * (1 - 0.50) = 2.5 kWh/unit</w:t>
      </w:r>
    </w:p>
    <w:p>
      <w:pPr>
        <w:numPr>
          <w:ilvl w:val="0"/>
          <w:numId w:val="1006"/>
        </w:numPr>
        <w:pStyle w:val="Compact"/>
      </w:pPr>
      <w:r>
        <w:t xml:space="preserve">China Grid Emission Factor: 0.6 kg CO2e/kWh</w:t>
      </w:r>
    </w:p>
    <w:p>
      <w:pPr>
        <w:numPr>
          <w:ilvl w:val="0"/>
          <w:numId w:val="1006"/>
        </w:numPr>
        <w:pStyle w:val="Compact"/>
      </w:pPr>
      <w:r>
        <w:rPr>
          <w:bCs/>
          <w:b/>
        </w:rPr>
        <w:t xml:space="preserve">Scope 2 Emissions = 2.5 kWh/unit * 0.6 kg CO2e/kWh = 1.50 kg CO2e</w:t>
      </w:r>
    </w:p>
    <w:bookmarkEnd w:id="36"/>
    <w:bookmarkStart w:id="42" w:name="scope-3-emissions-value-chain-emissions"/>
    <w:p>
      <w:pPr>
        <w:pStyle w:val="Heading3"/>
      </w:pPr>
      <w:r>
        <w:t xml:space="preserve">3.3 Scope 3 Emissions (Value Chain Emissions)</w:t>
      </w:r>
    </w:p>
    <w:p>
      <w:pPr>
        <w:pStyle w:val="FirstParagraph"/>
      </w:pPr>
      <w:r>
        <w:t xml:space="preserve">Scope 3 emissions encompass all other indirect emissions that occur in the value chain of</w:t>
      </w:r>
      <w:r>
        <w:t xml:space="preserve"> </w:t>
      </w:r>
      <w:r>
        <w:rPr>
          <w:bCs/>
          <w:b/>
        </w:rPr>
        <w:t xml:space="preserve">thexgigzke</w:t>
      </w:r>
      <w:r>
        <w:t xml:space="preserve">, both upstream and downstream.</w:t>
      </w:r>
    </w:p>
    <w:bookmarkStart w:id="37" w:name="Xab9729a0caae076ca89f2f71668734f92723cf2"/>
    <w:p>
      <w:pPr>
        <w:pStyle w:val="Heading4"/>
      </w:pPr>
      <w:r>
        <w:t xml:space="preserve">3.3.1 Category 1: Purchased Goods and Services (Materials)</w:t>
      </w:r>
    </w:p>
    <w:p>
      <w:pPr>
        <w:pStyle w:val="FirstParagraph"/>
      </w:pPr>
      <w:r>
        <w:t xml:space="preserve">Emissions from the extraction, production, and transportation of raw materials and components for</w:t>
      </w:r>
      <w:r>
        <w:t xml:space="preserve"> </w:t>
      </w:r>
      <w:r>
        <w:rPr>
          <w:bCs/>
          <w:b/>
        </w:rPr>
        <w:t xml:space="preserve">omqemzuwud</w:t>
      </w:r>
      <w:r>
        <w:t xml:space="preserve">.</w:t>
      </w:r>
    </w:p>
    <w:p>
      <w:pPr>
        <w:numPr>
          <w:ilvl w:val="0"/>
          <w:numId w:val="1007"/>
        </w:numPr>
        <w:pStyle w:val="Compact"/>
      </w:pPr>
      <w:r>
        <w:t xml:space="preserve">Total Material Carbon Impact (from illustrative BOM): 2.22 kg CO2e</w:t>
      </w:r>
    </w:p>
    <w:p>
      <w:pPr>
        <w:numPr>
          <w:ilvl w:val="0"/>
          <w:numId w:val="1007"/>
        </w:numPr>
        <w:pStyle w:val="Compact"/>
      </w:pPr>
      <w:r>
        <w:rPr>
          <w:bCs/>
          <w:b/>
        </w:rPr>
        <w:t xml:space="preserve">Scope 3, Category 1 Emissions = 2.22 kg CO2e</w:t>
      </w:r>
    </w:p>
    <w:bookmarkEnd w:id="37"/>
    <w:bookmarkStart w:id="38" w:name="Xc46c31664c982606c4f2039f30acfd0dca0fb00"/>
    <w:p>
      <w:pPr>
        <w:pStyle w:val="Heading4"/>
      </w:pPr>
      <w:r>
        <w:t xml:space="preserve">3.3.2 Category 4: Upstream Transportation and Distribution (Raw Materials)</w:t>
      </w:r>
    </w:p>
    <w:p>
      <w:pPr>
        <w:pStyle w:val="FirstParagraph"/>
      </w:pPr>
      <w:r>
        <w:t xml:space="preserve">Emissions from the transportation of raw materials and components to the</w:t>
      </w:r>
      <w:r>
        <w:t xml:space="preserve"> </w:t>
      </w:r>
      <w:r>
        <w:rPr>
          <w:bCs/>
          <w:b/>
        </w:rPr>
        <w:t xml:space="preserve">thexgigzke</w:t>
      </w:r>
      <w:r>
        <w:t xml:space="preserve"> </w:t>
      </w:r>
      <w:r>
        <w:t xml:space="preserve">factory in China.</w:t>
      </w:r>
    </w:p>
    <w:p>
      <w:pPr>
        <w:numPr>
          <w:ilvl w:val="0"/>
          <w:numId w:val="1008"/>
        </w:numPr>
        <w:pStyle w:val="Compact"/>
      </w:pPr>
      <w:r>
        <w:t xml:space="preserve">Total Material Weight: 0.39 kg (0.00039 tonnes)</w:t>
      </w:r>
    </w:p>
    <w:p>
      <w:pPr>
        <w:numPr>
          <w:ilvl w:val="0"/>
          <w:numId w:val="1008"/>
        </w:numPr>
        <w:pStyle w:val="Compact"/>
      </w:pPr>
      <w:r>
        <w:t xml:space="preserve">Assumed Inbound Transport Distance: 1000 km</w:t>
      </w:r>
    </w:p>
    <w:p>
      <w:pPr>
        <w:numPr>
          <w:ilvl w:val="0"/>
          <w:numId w:val="1008"/>
        </w:numPr>
        <w:pStyle w:val="Compact"/>
      </w:pPr>
      <w:r>
        <w:t xml:space="preserve">Transport Mode: Road Freight (HGV), Emission Factor: 0.092 kg CO2e/tonne-km</w:t>
      </w:r>
    </w:p>
    <w:p>
      <w:pPr>
        <w:numPr>
          <w:ilvl w:val="0"/>
          <w:numId w:val="1008"/>
        </w:numPr>
        <w:pStyle w:val="Compact"/>
      </w:pPr>
      <w:r>
        <w:rPr>
          <w:bCs/>
          <w:b/>
        </w:rPr>
        <w:t xml:space="preserve">Scope 3, Category 4 (Upstream) Emissions = 0.00039 tonnes * 1000 km * 0.092 kg CO2e/tonne-km = 0.036 kg CO2e</w:t>
      </w:r>
    </w:p>
    <w:bookmarkEnd w:id="38"/>
    <w:bookmarkStart w:id="39" w:name="X543cea48354ee1c56bae011ef6e08cee7498967"/>
    <w:p>
      <w:pPr>
        <w:pStyle w:val="Heading4"/>
      </w:pPr>
      <w:r>
        <w:t xml:space="preserve">3.3.3 Category 4: Downstream Transportation and Distribution (Finished Product)</w:t>
      </w:r>
    </w:p>
    <w:p>
      <w:pPr>
        <w:pStyle w:val="FirstParagraph"/>
      </w:pPr>
      <w:r>
        <w:t xml:space="preserve">Emissions from transporting the finished product from the factory to the end-consumer within Europe.</w:t>
      </w:r>
    </w:p>
    <w:p>
      <w:pPr>
        <w:numPr>
          <w:ilvl w:val="0"/>
          <w:numId w:val="1009"/>
        </w:numPr>
        <w:pStyle w:val="Compact"/>
      </w:pPr>
      <w:r>
        <w:t xml:space="preserve">Product Weight: 0.39 kg (0.00039 tonnes)</w:t>
      </w:r>
    </w:p>
    <w:p>
      <w:pPr>
        <w:numPr>
          <w:ilvl w:val="0"/>
          <w:numId w:val="1009"/>
        </w:numPr>
        <w:pStyle w:val="Compact"/>
      </w:pPr>
      <w:r>
        <w:t xml:space="preserve">Assumed Distribution Transport Distance: 500 km (within Europe)</w:t>
      </w:r>
    </w:p>
    <w:p>
      <w:pPr>
        <w:numPr>
          <w:ilvl w:val="0"/>
          <w:numId w:val="1009"/>
        </w:numPr>
        <w:pStyle w:val="Compact"/>
      </w:pPr>
      <w:r>
        <w:t xml:space="preserve">Transport Mode: Road Freight (HGV), Emission Factor: 0.092 kg CO2e/tonne-km</w:t>
      </w:r>
    </w:p>
    <w:p>
      <w:pPr>
        <w:numPr>
          <w:ilvl w:val="0"/>
          <w:numId w:val="1009"/>
        </w:numPr>
        <w:pStyle w:val="Compact"/>
      </w:pPr>
      <w:r>
        <w:t xml:space="preserve">Assumed Last-Mile Delivery Distance: 50 km</w:t>
      </w:r>
    </w:p>
    <w:p>
      <w:pPr>
        <w:numPr>
          <w:ilvl w:val="0"/>
          <w:numId w:val="1009"/>
        </w:numPr>
        <w:pStyle w:val="Compact"/>
      </w:pPr>
      <w:r>
        <w:t xml:space="preserve">Last-Mile Emission Factor (scaled): 0.000105 kg CO2e/kg/km</w:t>
      </w:r>
    </w:p>
    <w:p>
      <w:pPr>
        <w:numPr>
          <w:ilvl w:val="0"/>
          <w:numId w:val="1009"/>
        </w:numPr>
        <w:pStyle w:val="Compact"/>
      </w:pPr>
      <w:r>
        <w:t xml:space="preserve">Distribution Emissions = 0.00039 tonnes * 500 km * 0.092 kg CO2e/tonne-km = 0.018 kg CO2e</w:t>
      </w:r>
    </w:p>
    <w:p>
      <w:pPr>
        <w:numPr>
          <w:ilvl w:val="0"/>
          <w:numId w:val="1009"/>
        </w:numPr>
        <w:pStyle w:val="Compact"/>
      </w:pPr>
      <w:r>
        <w:t xml:space="preserve">Last-Mile Emissions = 0.39 kg * 50 km * 0.000105 kg CO2e/kg/km = 0.002 kg CO2e</w:t>
      </w:r>
    </w:p>
    <w:p>
      <w:pPr>
        <w:numPr>
          <w:ilvl w:val="0"/>
          <w:numId w:val="1009"/>
        </w:numPr>
        <w:pStyle w:val="Compact"/>
      </w:pPr>
      <w:r>
        <w:rPr>
          <w:bCs/>
          <w:b/>
        </w:rPr>
        <w:t xml:space="preserve">Scope 3, Category 4 (Downstream) Emissions = 0.018 kg CO2e + 0.002 kg CO2e = 0.020 kg CO2e</w:t>
      </w:r>
    </w:p>
    <w:bookmarkEnd w:id="39"/>
    <w:bookmarkStart w:id="40" w:name="category-11-use-of-sold-products"/>
    <w:p>
      <w:pPr>
        <w:pStyle w:val="Heading4"/>
      </w:pPr>
      <w:r>
        <w:t xml:space="preserve">3.3.4 Category 11: Use of Sold Products</w:t>
      </w:r>
    </w:p>
    <w:p>
      <w:pPr>
        <w:pStyle w:val="FirstParagraph"/>
      </w:pPr>
      <w:r>
        <w:t xml:space="preserve">Emissions from the energy consumed by the product during its lifespan.</w:t>
      </w:r>
    </w:p>
    <w:p>
      <w:pPr>
        <w:numPr>
          <w:ilvl w:val="0"/>
          <w:numId w:val="1010"/>
        </w:numPr>
        <w:pStyle w:val="Compact"/>
      </w:pPr>
      <w:r>
        <w:t xml:space="preserve">Product Lifespan (`siwzwvrrns`): 3 years</w:t>
      </w:r>
    </w:p>
    <w:p>
      <w:pPr>
        <w:numPr>
          <w:ilvl w:val="0"/>
          <w:numId w:val="1010"/>
        </w:numPr>
        <w:pStyle w:val="Compact"/>
      </w:pPr>
      <w:r>
        <w:t xml:space="preserve">Energy Consumption in Use (`dstsgdjvei`): 10 kWh/year</w:t>
      </w:r>
    </w:p>
    <w:p>
      <w:pPr>
        <w:numPr>
          <w:ilvl w:val="0"/>
          <w:numId w:val="1010"/>
        </w:numPr>
        <w:pStyle w:val="Compact"/>
      </w:pPr>
      <w:r>
        <w:t xml:space="preserve">Total Energy Consumption: 10 kWh/year * 3 years = 30 kWh</w:t>
      </w:r>
    </w:p>
    <w:p>
      <w:pPr>
        <w:numPr>
          <w:ilvl w:val="0"/>
          <w:numId w:val="1010"/>
        </w:numPr>
        <w:pStyle w:val="Compact"/>
      </w:pPr>
      <w:r>
        <w:t xml:space="preserve">Average Electricity Emission Factor (Use Phase): 0.4 kg CO2e/kWh</w:t>
      </w:r>
    </w:p>
    <w:p>
      <w:pPr>
        <w:numPr>
          <w:ilvl w:val="0"/>
          <w:numId w:val="1010"/>
        </w:numPr>
        <w:pStyle w:val="Compact"/>
      </w:pPr>
      <w:r>
        <w:rPr>
          <w:bCs/>
          <w:b/>
        </w:rPr>
        <w:t xml:space="preserve">Scope 3, Category 11 Emissions = 30 kWh * 0.4 kg CO2e/kWh = 12.00 kg CO2e</w:t>
      </w:r>
    </w:p>
    <w:bookmarkEnd w:id="40"/>
    <w:bookmarkStart w:id="41" w:name="X9f66eef2700632e081dfe139021cb724ffcd2c5"/>
    <w:p>
      <w:pPr>
        <w:pStyle w:val="Heading4"/>
      </w:pPr>
      <w:r>
        <w:t xml:space="preserve">3.3.5 Category 12: End-of-Life Treatment of Sold Products</w:t>
      </w:r>
    </w:p>
    <w:p>
      <w:pPr>
        <w:pStyle w:val="FirstParagraph"/>
      </w:pPr>
      <w:r>
        <w:t xml:space="preserve">Emissions and avoided emissions associated with the end-of-life management of</w:t>
      </w:r>
      <w:r>
        <w:t xml:space="preserve"> </w:t>
      </w:r>
      <w:r>
        <w:rPr>
          <w:bCs/>
          <w:b/>
        </w:rPr>
        <w:t xml:space="preserve">omqemzuwud</w:t>
      </w:r>
      <w:r>
        <w:t xml:space="preserve">.</w:t>
      </w:r>
    </w:p>
    <w:p>
      <w:pPr>
        <w:numPr>
          <w:ilvl w:val="0"/>
          <w:numId w:val="1011"/>
        </w:numPr>
        <w:pStyle w:val="Compact"/>
      </w:pPr>
      <w:r>
        <w:t xml:space="preserve">Total Product Weight: 0.39 kg</w:t>
      </w:r>
    </w:p>
    <w:p>
      <w:pPr>
        <w:numPr>
          <w:ilvl w:val="0"/>
          <w:numId w:val="1011"/>
        </w:numPr>
        <w:pStyle w:val="Compact"/>
      </w:pPr>
      <w:r>
        <w:t xml:space="preserve">Recyclability Percentage (`pxshkgdxhs`): 70%</w:t>
      </w:r>
    </w:p>
    <w:p>
      <w:pPr>
        <w:numPr>
          <w:ilvl w:val="0"/>
          <w:numId w:val="1011"/>
        </w:numPr>
        <w:pStyle w:val="Compact"/>
      </w:pPr>
      <w:r>
        <w:t xml:space="preserve">Amount Recycled: 0.39 kg * 0.70 = 0.273 kg</w:t>
      </w:r>
    </w:p>
    <w:p>
      <w:pPr>
        <w:numPr>
          <w:ilvl w:val="0"/>
          <w:numId w:val="1011"/>
        </w:numPr>
        <w:pStyle w:val="Compact"/>
      </w:pPr>
      <w:r>
        <w:t xml:space="preserve">Amount Disposed: 0.39 kg * (1 - 0.70) = 0.117 kg</w:t>
      </w:r>
    </w:p>
    <w:p>
      <w:pPr>
        <w:numPr>
          <w:ilvl w:val="0"/>
          <w:numId w:val="1011"/>
        </w:numPr>
        <w:pStyle w:val="Compact"/>
      </w:pPr>
      <w:r>
        <w:t xml:space="preserve">Avoided Emissions (Recycling): -0.273 kg * 2.0 kg CO2e/kg avoided = -0.546 kg CO2e.</w:t>
      </w:r>
    </w:p>
    <w:p>
      <w:pPr>
        <w:numPr>
          <w:ilvl w:val="0"/>
          <w:numId w:val="1011"/>
        </w:numPr>
        <w:pStyle w:val="Compact"/>
      </w:pPr>
      <w:r>
        <w:t xml:space="preserve">Disposal Emissions (Incineration): 0.117 kg * 1.5 kg CO2e/kg disposed = 0.176 kg CO2e.</w:t>
      </w:r>
    </w:p>
    <w:p>
      <w:pPr>
        <w:numPr>
          <w:ilvl w:val="0"/>
          <w:numId w:val="1011"/>
        </w:numPr>
        <w:pStyle w:val="Compact"/>
      </w:pPr>
      <w:r>
        <w:rPr>
          <w:bCs/>
          <w:b/>
        </w:rPr>
        <w:t xml:space="preserve">Scope 3, Category 12 Emissions = -0.546 kg CO2e + 0.176 kg CO2e = -0.370 kg CO2e</w:t>
      </w:r>
    </w:p>
    <w:bookmarkEnd w:id="41"/>
    <w:bookmarkEnd w:id="42"/>
    <w:bookmarkStart w:id="43" w:name="summary-of-emissions-by-scope-and-stage"/>
    <w:p>
      <w:pPr>
        <w:pStyle w:val="Heading3"/>
      </w:pPr>
      <w:r>
        <w:t xml:space="preserve">3.4 Summary of Emissions by Scope and Stage</w:t>
      </w:r>
    </w:p>
    <w:p>
      <w:pPr>
        <w:pStyle w:val="FirstParagraph"/>
      </w:pPr>
      <w:r>
        <w:t xml:space="preserve">The total Product Carbon Footprint for one unit of</w:t>
      </w:r>
      <w:r>
        <w:t xml:space="preserve"> </w:t>
      </w:r>
      <w:r>
        <w:rPr>
          <w:bCs/>
          <w:b/>
        </w:rPr>
        <w:t xml:space="preserve">omqemzuwud</w:t>
      </w:r>
      <w:r>
        <w:t xml:space="preserve"> </w:t>
      </w:r>
      <w:r>
        <w:t xml:space="preserve">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&amp; Category</w:t>
            </w:r>
          </w:p>
        </w:tc>
        <w:tc>
          <w:tcPr/>
          <w:p>
            <w:pPr>
              <w:pStyle w:val="Compact"/>
              <w:jc w:val="left"/>
            </w:pPr>
            <w:r>
              <w:t xml:space="preserve">Lifecycle Stage</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1.50</w:t>
            </w:r>
          </w:p>
        </w:tc>
      </w:tr>
      <w:tr>
        <w:tc>
          <w:tcPr/>
          <w:p>
            <w:pPr>
              <w:pStyle w:val="Compact"/>
              <w:jc w:val="left"/>
            </w:pPr>
            <w:r>
              <w:t xml:space="preserve">Scope 3, Category 1</w:t>
            </w:r>
          </w:p>
        </w:tc>
        <w:tc>
          <w:tcPr/>
          <w:p>
            <w:pPr>
              <w:pStyle w:val="Compact"/>
              <w:jc w:val="left"/>
            </w:pPr>
            <w:r>
              <w:t xml:space="preserve">Purchased Goods &amp; Services (Materials)</w:t>
            </w:r>
          </w:p>
        </w:tc>
        <w:tc>
          <w:tcPr/>
          <w:p>
            <w:pPr>
              <w:pStyle w:val="Compact"/>
              <w:jc w:val="left"/>
            </w:pPr>
            <w:r>
              <w:t xml:space="preserve">2.22</w:t>
            </w:r>
          </w:p>
        </w:tc>
      </w:tr>
      <w:tr>
        <w:tc>
          <w:tcPr/>
          <w:p>
            <w:pPr>
              <w:pStyle w:val="Compact"/>
              <w:jc w:val="left"/>
            </w:pPr>
            <w:r>
              <w:t xml:space="preserve">Scope 3, Category 4</w:t>
            </w:r>
          </w:p>
        </w:tc>
        <w:tc>
          <w:tcPr/>
          <w:p>
            <w:pPr>
              <w:pStyle w:val="Compact"/>
              <w:jc w:val="left"/>
            </w:pPr>
            <w:r>
              <w:t xml:space="preserve">Upstream Transport (Raw Materials)</w:t>
            </w:r>
          </w:p>
        </w:tc>
        <w:tc>
          <w:tcPr/>
          <w:p>
            <w:pPr>
              <w:pStyle w:val="Compact"/>
              <w:jc w:val="left"/>
            </w:pPr>
            <w:r>
              <w:t xml:space="preserve">0.036</w:t>
            </w:r>
          </w:p>
        </w:tc>
      </w:tr>
      <w:tr>
        <w:tc>
          <w:tcPr/>
          <w:p>
            <w:pPr>
              <w:pStyle w:val="Compact"/>
              <w:jc w:val="left"/>
            </w:pPr>
            <w:r>
              <w:t xml:space="preserve">Scope 3, Category 4</w:t>
            </w:r>
          </w:p>
        </w:tc>
        <w:tc>
          <w:tcPr/>
          <w:p>
            <w:pPr>
              <w:pStyle w:val="Compact"/>
              <w:jc w:val="left"/>
            </w:pPr>
            <w:r>
              <w:t xml:space="preserve">Downstream Transport (Distribution &amp; Last-Mile)</w:t>
            </w:r>
          </w:p>
        </w:tc>
        <w:tc>
          <w:tcPr/>
          <w:p>
            <w:pPr>
              <w:pStyle w:val="Compact"/>
              <w:jc w:val="left"/>
            </w:pPr>
            <w:r>
              <w:t xml:space="preserve">0.020</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12.00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-0.370</w:t>
            </w:r>
          </w:p>
        </w:tc>
      </w:tr>
      <w:tr>
        <w:tc>
          <w:tcPr>
            <w:gridSpan w:val="2"/>
          </w:tcPr>
          <w:p>
            <w:pPr>
              <w:pStyle w:val="Compact"/>
              <w:jc w:val="right"/>
            </w:pPr>
            <w:r>
              <w:t xml:space="preserve">Total Product Carbon Footprint (PCF):</w:t>
            </w:r>
          </w:p>
        </w:tc>
        <w:tc>
          <w:tcPr/>
          <w:p>
            <w:pPr>
              <w:pStyle w:val="Compact"/>
              <w:jc w:val="left"/>
            </w:pPr>
            <w:r>
              <w:t xml:space="preserve">15.406 kg CO2e</w:t>
            </w:r>
          </w:p>
        </w:tc>
      </w:tr>
    </w:tbl>
    <w:p>
      <w:pPr>
        <w:pStyle w:val="BodyText"/>
      </w:pPr>
      <w:r>
        <w:rPr>
          <w:iCs/>
          <w:i/>
        </w:rPr>
        <w:t xml:space="preserve">Note: Summing up the calculated values yields 1.50 + 2.22 + 0.036 + 0.020 + 12.00 - 0.370 = 15.406 kg CO2e.</w:t>
      </w:r>
    </w:p>
    <w:bookmarkEnd w:id="43"/>
    <w:bookmarkStart w:id="44" w:name="lsr-update-scope-3-compliance"/>
    <w:p>
      <w:pPr>
        <w:pStyle w:val="Heading3"/>
      </w:pPr>
      <w:r>
        <w:t xml:space="preserve">3.5 2026 LSR Update &amp; Scope 3 Compliance</w:t>
      </w:r>
    </w:p>
    <w:p>
      <w:pPr>
        <w:pStyle w:val="FirstParagraph"/>
      </w:pPr>
      <w:r>
        <w:t xml:space="preserve">The analysis acknowledges the</w:t>
      </w:r>
      <w:r>
        <w:t xml:space="preserve"> </w:t>
      </w:r>
      <w:r>
        <w:rPr>
          <w:bCs/>
          <w:b/>
        </w:rPr>
        <w:t xml:space="preserve">GHG Protocol\'s Land Sector and Removals (LSR) Standard (v1.0)</w:t>
      </w:r>
      <w:r>
        <w:t xml:space="preserve">, which was released on January 30, 2026, and is effective from January 1, 2027. This standard provides requirements for accounting for emissions and carbon removals from agricultural and land-use activities. While specific land-use data for components of</w:t>
      </w:r>
      <w:r>
        <w:t xml:space="preserve"> </w:t>
      </w:r>
      <w:r>
        <w:rPr>
          <w:bCs/>
          <w:b/>
        </w:rPr>
        <w:t xml:space="preserve">omqemzuwud</w:t>
      </w:r>
      <w:r>
        <w:t xml:space="preserve"> </w:t>
      </w:r>
      <w:r>
        <w:t xml:space="preserve">are not provided, future iterations of this PCF will integrate the detailed guidance expected in Q2 2026 for comprehensive land-related impact assessment.</w:t>
      </w:r>
    </w:p>
    <w:p>
      <w:pPr>
        <w:pStyle w:val="BodyText"/>
      </w:pPr>
      <w:r>
        <w:t xml:space="preserve">In accordance with</w:t>
      </w:r>
      <w:r>
        <w:t xml:space="preserve"> </w:t>
      </w:r>
      <w:r>
        <w:rPr>
          <w:bCs/>
          <w:b/>
        </w:rPr>
        <w:t xml:space="preserve">2026 Scope 3 requirements</w:t>
      </w:r>
      <w:r>
        <w:t xml:space="preserve">, this report aims for at least 95% coverage of total relevant Scope 3 emissions. By meticulously detailing emissions across Categories 1, 4, 11, and 12, the report endeavors to include all major Scope 3 emission sources by magnitude. Future reporting will also consider the disaggregation of reported Scope 3 emissions data into distinct tiers based on data type, as proposed in the 2026 revisions to enhance transparency and comparability.</w:t>
      </w:r>
    </w:p>
    <w:p>
      <w:r>
        <w:pict>
          <v:rect style="width:0;height:1.5pt" o:hralign="center" o:hrstd="t" o:hr="t"/>
        </w:pict>
      </w:r>
    </w:p>
    <w:bookmarkEnd w:id="44"/>
    <w:bookmarkEnd w:id="45"/>
    <w:bookmarkStart w:id="49" w:name="review-report"/>
    <w:p>
      <w:pPr>
        <w:pStyle w:val="Heading2"/>
      </w:pPr>
      <w:r>
        <w:t xml:space="preserve">4. Review &amp; Report</w:t>
      </w:r>
    </w:p>
    <w:bookmarkStart w:id="46" w:name="hotspots-identification"/>
    <w:p>
      <w:pPr>
        <w:pStyle w:val="Heading3"/>
      </w:pPr>
      <w:r>
        <w:t xml:space="preserve">4.1 Hotspots Identification</w:t>
      </w:r>
    </w:p>
    <w:p>
      <w:pPr>
        <w:pStyle w:val="FirstParagraph"/>
      </w:pPr>
      <w:r>
        <w:t xml:space="preserve">The PCF analysis reveals the following key emission hotspots for</w:t>
      </w:r>
      <w:r>
        <w:t xml:space="preserve"> </w:t>
      </w:r>
      <w:r>
        <w:rPr>
          <w:bCs/>
          <w:b/>
        </w:rPr>
        <w:t xml:space="preserve">omqemzuwud</w:t>
      </w:r>
      <w:r>
        <w:t xml:space="preserve">:</w:t>
      </w:r>
    </w:p>
    <w:p>
      <w:pPr>
        <w:numPr>
          <w:ilvl w:val="0"/>
          <w:numId w:val="1012"/>
        </w:numPr>
        <w:pStyle w:val="Compact"/>
      </w:pPr>
      <w:r>
        <w:rPr>
          <w:bCs/>
          <w:b/>
        </w:rPr>
        <w:t xml:space="preserve">Use Phase (12.00 kg CO2e):</w:t>
      </w:r>
      <w:r>
        <w:t xml:space="preserve"> </w:t>
      </w:r>
      <w:r>
        <w:t xml:space="preserve">This is the most significant hotspot, primarily driven by the assumed energy consumption of 10 kWh/year over a 3-year lifespan. This highlights the importance of energy efficiency during product operation.</w:t>
      </w:r>
    </w:p>
    <w:p>
      <w:pPr>
        <w:numPr>
          <w:ilvl w:val="0"/>
          <w:numId w:val="1012"/>
        </w:numPr>
        <w:pStyle w:val="Compact"/>
      </w:pPr>
      <w:r>
        <w:rPr>
          <w:bCs/>
          <w:b/>
        </w:rPr>
        <w:t xml:space="preserve">Purchased Goods and Services (2.22 kg CO2e):</w:t>
      </w:r>
      <w:r>
        <w:t xml:space="preserve"> </w:t>
      </w:r>
      <w:r>
        <w:t xml:space="preserve">The embodied emissions in raw materials, particularly the circuit board and lithium-ion battery, contribute substantially to the product\'s footprint.</w:t>
      </w:r>
    </w:p>
    <w:p>
      <w:pPr>
        <w:numPr>
          <w:ilvl w:val="0"/>
          <w:numId w:val="1012"/>
        </w:numPr>
        <w:pStyle w:val="Compact"/>
      </w:pPr>
      <w:r>
        <w:rPr>
          <w:bCs/>
          <w:b/>
        </w:rPr>
        <w:t xml:space="preserve">Manufacturing (Scope 2) (1.50 kg CO2e):</w:t>
      </w:r>
      <w:r>
        <w:t xml:space="preserve"> </w:t>
      </w:r>
      <w:r>
        <w:t xml:space="preserve">The energy consumed during production in China, despite 50% renewable energy usage, remains a notable contributor due to the prevailing grid intensity.</w:t>
      </w:r>
    </w:p>
    <w:bookmarkEnd w:id="46"/>
    <w:bookmarkStart w:id="47" w:name="data-reliability-and-limitations"/>
    <w:p>
      <w:pPr>
        <w:pStyle w:val="Heading3"/>
      </w:pPr>
      <w:r>
        <w:t xml:space="preserve">4.2 Data Reliability and Limitations</w:t>
      </w:r>
    </w:p>
    <w:p>
      <w:pPr>
        <w:pStyle w:val="FirstParagraph"/>
      </w:pPr>
      <w:r>
        <w:t xml:space="preserve">The reliability of this PCF analysis is contingent upon the accuracy of the underlying data. Primary data for key parameters (e.g., energy intensity, renewable energy usage, product lifespan) were provided as specific inputs. Secondary data (e.g., emission factors for materials, transport, and electricity grids) are drawn from recognized industry databases (e.g., IEA, MEE, GLEC, DEFRA) and reflect average values, which may not perfectly align with specific supplier or regional data. The illustrative nature of the BOM (`szqpzsor`) implies that actual material impacts could vary.</w:t>
      </w:r>
    </w:p>
    <w:bookmarkEnd w:id="47"/>
    <w:bookmarkStart w:id="48" w:name="recommendations-for-emission-reduction"/>
    <w:p>
      <w:pPr>
        <w:pStyle w:val="Heading3"/>
      </w:pPr>
      <w:r>
        <w:t xml:space="preserve">4.3 Recommendations for Emission Reduction</w:t>
      </w:r>
    </w:p>
    <w:p>
      <w:pPr>
        <w:pStyle w:val="FirstParagraph"/>
      </w:pPr>
      <w:r>
        <w:t xml:space="preserve">Based on the identified hotspots,</w:t>
      </w:r>
      <w:r>
        <w:t xml:space="preserve"> </w:t>
      </w:r>
      <w:r>
        <w:rPr>
          <w:bCs/>
          <w:b/>
        </w:rPr>
        <w:t xml:space="preserve">thexgigzke</w:t>
      </w:r>
      <w:r>
        <w:t xml:space="preserve"> </w:t>
      </w:r>
      <w:r>
        <w:t xml:space="preserve">can focus on the following strategies to reduce the PCF of</w:t>
      </w:r>
      <w:r>
        <w:t xml:space="preserve"> </w:t>
      </w:r>
      <w:r>
        <w:rPr>
          <w:bCs/>
          <w:b/>
        </w:rPr>
        <w:t xml:space="preserve">omqemzuwud</w:t>
      </w:r>
      <w:r>
        <w:t xml:space="preserve">:</w:t>
      </w:r>
    </w:p>
    <w:p>
      <w:pPr>
        <w:numPr>
          <w:ilvl w:val="0"/>
          <w:numId w:val="1013"/>
        </w:numPr>
        <w:pStyle w:val="Compact"/>
      </w:pPr>
      <w:r>
        <w:rPr>
          <w:bCs/>
          <w:b/>
        </w:rPr>
        <w:t xml:space="preserve">Optimize Use Phase Efficiency:</w:t>
      </w:r>
      <w:r>
        <w:t xml:space="preserve"> </w:t>
      </w:r>
      <w:r>
        <w:t xml:space="preserve">Invest in R&amp;D to significantly reduce the product\'s energy consumption during its use phase. Explore low-power modes, extend product lifespan further, and promote energy-efficient user behavior.</w:t>
      </w:r>
    </w:p>
    <w:p>
      <w:pPr>
        <w:numPr>
          <w:ilvl w:val="0"/>
          <w:numId w:val="1013"/>
        </w:numPr>
        <w:pStyle w:val="Compact"/>
      </w:pPr>
      <w:r>
        <w:rPr>
          <w:bCs/>
          <w:b/>
        </w:rPr>
        <w:t xml:space="preserve">Sustainable Material Sourcing:</w:t>
      </w:r>
      <w:r>
        <w:t xml:space="preserve"> </w:t>
      </w:r>
      <w:r>
        <w:t xml:space="preserve">Collaborate with suppliers to source lower-carbon materials, increase recycled content, and explore bio-based alternatives, especially for high-impact components like batteries and electronics.</w:t>
      </w:r>
    </w:p>
    <w:p>
      <w:pPr>
        <w:numPr>
          <w:ilvl w:val="0"/>
          <w:numId w:val="1013"/>
        </w:numPr>
        <w:pStyle w:val="Compact"/>
      </w:pPr>
      <w:r>
        <w:rPr>
          <w:bCs/>
          <w:b/>
        </w:rPr>
        <w:t xml:space="preserve">Enhance Manufacturing Energy Mix:</w:t>
      </w:r>
      <w:r>
        <w:t xml:space="preserve"> </w:t>
      </w:r>
      <w:r>
        <w:t xml:space="preserve">Further increase renewable energy procurement at the China manufacturing facility beyond the current 50% to reduce Scope 2 emissions. Invest in on-site renewable energy generation or procure high-quality renewable energy certificates.</w:t>
      </w:r>
    </w:p>
    <w:p>
      <w:pPr>
        <w:numPr>
          <w:ilvl w:val="0"/>
          <w:numId w:val="1013"/>
        </w:numPr>
        <w:pStyle w:val="Compact"/>
      </w:pPr>
      <w:r>
        <w:rPr>
          <w:bCs/>
          <w:b/>
        </w:rPr>
        <w:t xml:space="preserve">Strengthen Circular Economy Initiatives:</w:t>
      </w:r>
      <w:r>
        <w:t xml:space="preserve"> </w:t>
      </w:r>
      <w:r>
        <w:t xml:space="preserve">Expand and promote the existing circular/take-back programs (`ixsdpzlzes`) to maximize product reuse, refurbishment, and high-value recycling, thereby reducing the reliance on virgin materials and minimizing disposal impacts.</w:t>
      </w:r>
    </w:p>
    <w:p>
      <w:pPr>
        <w:numPr>
          <w:ilvl w:val="0"/>
          <w:numId w:val="1013"/>
        </w:numPr>
        <w:pStyle w:val="Compact"/>
      </w:pPr>
      <w:r>
        <w:rPr>
          <w:bCs/>
          <w:b/>
        </w:rPr>
        <w:t xml:space="preserve">Supply Chain Engagement:</w:t>
      </w:r>
      <w:r>
        <w:t xml:space="preserve"> </w:t>
      </w:r>
      <w:r>
        <w:t xml:space="preserve">Work with upstream and downstream logistics partners to optimize transport routes, utilize more fuel-efficient modes (e.g., rail, sea where feasible for bulk), and explore alternative low-carbon fuels or electric vehicles for distribution, particularly for last-mile delivery.</w:t>
      </w:r>
    </w:p>
    <w:p>
      <w:r>
        <w:pict>
          <v:rect style="width:0;height:1.5pt" o:hralign="center" o:hrstd="t" o:hr="t"/>
        </w:pict>
      </w:r>
    </w:p>
    <w:p>
      <w:pPr>
        <w:pStyle w:val="FirstParagraph"/>
      </w:pPr>
      <w:r>
        <w:t xml:space="preserve">Confidential - Internal Use Only</w:t>
      </w:r>
    </w:p>
    <w:p>
      <w:pPr>
        <w:pStyle w:val="BodyText"/>
      </w:pPr>
      <w:r>
        <w:t xml:space="preserve">Page 1 of X</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omqemzuwud</dc:title>
  <dc:creator/>
  <dc:description>Detailed Product Carbon Footprint (PCF) analysis for omqemzuwud, performed by Senior Sustainability Consultant tuzihqjefy for thexgigzke, adhering to GHG Protocol standards and 2026 updates.</dc:description>
  <dc:language>en</dc:language>
  <cp:keywords/>
  <dcterms:created xsi:type="dcterms:W3CDTF">2026-05-30T12:41:09Z</dcterms:created>
  <dcterms:modified xsi:type="dcterms:W3CDTF">2026-05-30T12:41:09Z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