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ojqqdqvxyq</w:t>
      </w:r>
      <w:r>
        <w:t xml:space="preserve"> </w:t>
      </w:r>
      <w:r>
        <w:t xml:space="preserve">-</w:t>
      </w:r>
      <w:r>
        <w:t xml:space="preserve"> </w:t>
      </w:r>
      <w:r>
        <w:t xml:space="preserve">qdidwqlrkj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ojqqdqvxyq</w:t>
      </w:r>
    </w:p>
    <w:p>
      <w:pPr>
        <w:pStyle w:val="BodyText"/>
      </w:pPr>
      <w:r>
        <w:t xml:space="preserve">Company: qdidwqlrkj</w:t>
      </w:r>
    </w:p>
    <w:p>
      <w:pPr>
        <w:pStyle w:val="BodyText"/>
      </w:pPr>
      <w:r>
        <w:t xml:space="preserve">Accounting Standard: GHG Protocol</w:t>
      </w:r>
    </w:p>
    <w:p>
      <w:pPr>
        <w:pStyle w:val="BodyText"/>
      </w:pPr>
      <w:r>
        <w:t xml:space="preserve">Senior Sustainability Consultant: gujxkkvxlk</w:t>
      </w:r>
    </w:p>
    <w:p>
      <w:pPr>
        <w:pStyle w:val="BodyText"/>
      </w:pPr>
      <w:r>
        <w:t xml:space="preserve">Disclaimer: This report is generated based on available data and industry standards, providing an assessment of the product\'s carbon footprint. It serves as a guide for sustainability efforts and is subject to the accuracy and completeness of the input data.</w:t>
      </w:r>
    </w:p>
    <w:bookmarkEnd w:id="20"/>
    <w:p>
      <w:pPr>
        <w:pStyle w:val="BodyText"/>
      </w:pPr>
      <w:r>
        <w:t xml:space="preserve">Generated Date: May 16, 2026</w:t>
      </w:r>
    </w:p>
    <w:bookmarkStart w:id="42" w:name="executive-summary"/>
    <w:p>
      <w:pPr>
        <w:pStyle w:val="Heading1"/>
      </w:pPr>
      <w:r>
        <w:t xml:space="preserve">Executive Summary</w:t>
      </w:r>
    </w:p>
    <w:p>
      <w:pPr>
        <w:pStyle w:val="FirstParagraph"/>
      </w:pPr>
      <w:r>
        <w:t xml:space="preserve">This report presents a high-detail Product Carbon Footprint (PCF) analysis for \'ojqqdqvxyq\', manufactured by \'qdidwqlrkj\'. Conducted by Senior Sustainability Consultant \'gujxkkvxlk\' in accordance with the GHG Protocol, this analysis quantifies the greenhouse gas (GHG) emissions across the product\'s entire lifecycle. The assessment covers material acquisition, manufacturing, transport, use phase, and end-of-life, utilizing specific company data and adhering to the 2026 Land Sector and Removals (LSR) Standard for land use and carbon removals. The primary goal is to identify emission hotspots and provide a robust foundation for strategic sustainability improvements, ensuring over 95% Scope 3 coverage as per 2026 requirements.</w:t>
      </w:r>
    </w:p>
    <w:p>
      <w:r>
        <w:pict>
          <v:rect style="width:0;height:1.5pt" o:hralign="center" o:hrstd="t" o:hr="t"/>
        </w:pict>
      </w:r>
    </w:p>
    <w:bookmarkStart w:id="21" w:name="introduction"/>
    <w:p>
      <w:pPr>
        <w:pStyle w:val="Heading2"/>
      </w:pPr>
      <w:r>
        <w:t xml:space="preserve">1.0 Introduction</w:t>
      </w:r>
    </w:p>
    <w:p>
      <w:pPr>
        <w:pStyle w:val="FirstParagraph"/>
      </w:pPr>
      <w:r>
        <w:t xml:space="preserve">Understanding the environmental impact of products is crucial for sustainable business practices. This Product Carbon Footprint (PCF) analysis provides a comprehensive assessment of the greenhouse gas (GHG) emissions associated with \'ojqqdqvxyq\'. The study follows the principles of the GHG Protocol, a globally recognized standard for GHG accounting, to ensure accuracy, consistency, and transparency. By detailing emissions across the product\'s lifecycle, \'qdidwqlrkj\' can identify key areas for intervention, optimize resource use, and communicate its environmental performance credibly.</w:t>
      </w:r>
    </w:p>
    <w:p>
      <w:r>
        <w:pict>
          <v:rect style="width:0;height:1.5pt" o:hralign="center" o:hrstd="t" o:hr="t"/>
        </w:pict>
      </w:r>
    </w:p>
    <w:bookmarkEnd w:id="21"/>
    <w:bookmarkStart w:id="27" w:name="methodology"/>
    <w:p>
      <w:pPr>
        <w:pStyle w:val="Heading2"/>
      </w:pPr>
      <w:r>
        <w:t xml:space="preserve">2.0 Methodology</w:t>
      </w:r>
    </w:p>
    <w:p>
      <w:pPr>
        <w:pStyle w:val="FirstParagraph"/>
      </w:pPr>
      <w:r>
        <w:t xml:space="preserve">The PCF analysis for \'ojqqdqvxyq\' was conducted following a five-step methodology, fully aligned with the GHG Protocol Product Standard and incorporating the latest 2026 LSR Update for land use and carbon removals.</w:t>
      </w:r>
    </w:p>
    <w:bookmarkStart w:id="22"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ojqqdqvxyq</w:t>
      </w:r>
      <w:r>
        <w:t xml:space="preserve">. This serves as the reference basis for quantifying all inputs and outputs within the system boundary.</w:t>
      </w:r>
    </w:p>
    <w:p>
      <w:pPr>
        <w:numPr>
          <w:ilvl w:val="0"/>
          <w:numId w:val="1001"/>
        </w:numPr>
        <w:pStyle w:val="Compact"/>
      </w:pPr>
      <w:r>
        <w:rPr>
          <w:bCs/>
          <w:b/>
        </w:rPr>
        <w:t xml:space="preserve">System Boundary:</w:t>
      </w:r>
      <w:r>
        <w:t xml:space="preserve"> </w:t>
      </w:r>
      <w:r>
        <w:t xml:space="preserve">A "factory_gate" to "grave" approach was employed, covering all stages from raw material extraction and processing, through manufacturing at the factory gate, distribution, the use phase, and finally, end-of-life treatment.</w:t>
      </w:r>
    </w:p>
    <w:p>
      <w:pPr>
        <w:numPr>
          <w:ilvl w:val="0"/>
          <w:numId w:val="1001"/>
        </w:numPr>
        <w:pStyle w:val="Compact"/>
      </w:pPr>
      <w:r>
        <w:rPr>
          <w:bCs/>
          <w:b/>
        </w:rPr>
        <w:t xml:space="preserve">Geographic Scope:</w:t>
      </w:r>
      <w:r>
        <w:t xml:space="preserve"> </w:t>
      </w:r>
      <w:r>
        <w:t xml:space="preserve">The final production country for \'ojqqdqvxyq\' is</w:t>
      </w:r>
      <w:r>
        <w:t xml:space="preserve"> </w:t>
      </w:r>
      <w:r>
        <w:rPr>
          <w:bCs/>
          <w:b/>
        </w:rPr>
        <w:t xml:space="preserve">China</w:t>
      </w:r>
      <w:r>
        <w:t xml:space="preserve">, with a specific focus on</w:t>
      </w:r>
      <w:r>
        <w:t xml:space="preserve"> </w:t>
      </w:r>
      <w:r>
        <w:rPr>
          <w:bCs/>
          <w:b/>
        </w:rPr>
        <w:t xml:space="preserve">Europe Focused</w:t>
      </w:r>
      <w:r>
        <w:t xml:space="preserve"> </w:t>
      </w:r>
      <w:r>
        <w:t xml:space="preserve">supply chain logistics for upstream and downstream activities.</w:t>
      </w:r>
    </w:p>
    <w:p>
      <w:pPr>
        <w:numPr>
          <w:ilvl w:val="0"/>
          <w:numId w:val="1001"/>
        </w:numPr>
        <w:pStyle w:val="Compact"/>
      </w:pPr>
      <w:r>
        <w:rPr>
          <w:bCs/>
          <w:b/>
        </w:rPr>
        <w:t xml:space="preserve">Allocation:</w:t>
      </w:r>
      <w:r>
        <w:t xml:space="preserve"> </w:t>
      </w:r>
      <w:r>
        <w:t xml:space="preserve">Where co-products or by-products occur, allocation of environmental burdens is based on established GHG Protocol guidelines, primarily using physical relationships (e.g., mass, energy content) or economic value when physical causality is not clear.</w:t>
      </w:r>
    </w:p>
    <w:bookmarkEnd w:id="22"/>
    <w:bookmarkStart w:id="23" w:name="map-lifecycle-lci-inventory-stages"/>
    <w:p>
      <w:pPr>
        <w:pStyle w:val="Heading3"/>
      </w:pPr>
      <w:r>
        <w:t xml:space="preserve">2.2 Map Lifecycle (LCI Inventory Stages)</w:t>
      </w:r>
    </w:p>
    <w:p>
      <w:pPr>
        <w:pStyle w:val="FirstParagraph"/>
      </w:pPr>
      <w:r>
        <w:t xml:space="preserve">The lifecycle of \'ojqqdqvxyq\' was mapped into five distinct stages, enabling a thorough inventory of inputs and outputs:</w:t>
      </w:r>
    </w:p>
    <w:p>
      <w:pPr>
        <w:numPr>
          <w:ilvl w:val="0"/>
          <w:numId w:val="1002"/>
        </w:numPr>
        <w:pStyle w:val="Compact"/>
      </w:pPr>
      <w:r>
        <w:rPr>
          <w:bCs/>
          <w:b/>
        </w:rPr>
        <w:t xml:space="preserve">Material Acquisition &amp; Pre-processing:</w:t>
      </w:r>
      <w:r>
        <w:t xml:space="preserve"> </w:t>
      </w:r>
      <w:r>
        <w:t xml:space="preserve">Extraction, processing, and refining of all raw materials listed in the Detailed Bill of Materials (BOM).</w:t>
      </w:r>
    </w:p>
    <w:p>
      <w:pPr>
        <w:numPr>
          <w:ilvl w:val="0"/>
          <w:numId w:val="1002"/>
        </w:numPr>
        <w:pStyle w:val="Compact"/>
      </w:pPr>
      <w:r>
        <w:rPr>
          <w:bCs/>
          <w:b/>
        </w:rPr>
        <w:t xml:space="preserve">Manufacturing:</w:t>
      </w:r>
      <w:r>
        <w:t xml:space="preserve"> </w:t>
      </w:r>
      <w:r>
        <w:t xml:space="preserve">Assembly, fabrication, and packaging processes at the production facility in China, including energy consumption and waste generation.</w:t>
      </w:r>
    </w:p>
    <w:p>
      <w:pPr>
        <w:numPr>
          <w:ilvl w:val="0"/>
          <w:numId w:val="1002"/>
        </w:numPr>
        <w:pStyle w:val="Compact"/>
      </w:pPr>
      <w:r>
        <w:rPr>
          <w:bCs/>
          <w:b/>
        </w:rPr>
        <w:t xml:space="preserve">Transport &amp; Distribution:</w:t>
      </w:r>
      <w:r>
        <w:t xml:space="preserve"> </w:t>
      </w:r>
      <w:r>
        <w:t xml:space="preserve">Logistics from suppliers to the factory, and from the factory to the end-consumer, including last-mile delivery.</w:t>
      </w:r>
    </w:p>
    <w:p>
      <w:pPr>
        <w:numPr>
          <w:ilvl w:val="0"/>
          <w:numId w:val="1002"/>
        </w:numPr>
        <w:pStyle w:val="Compact"/>
      </w:pPr>
      <w:r>
        <w:rPr>
          <w:bCs/>
          <w:b/>
        </w:rPr>
        <w:t xml:space="preserve">Use Phase:</w:t>
      </w:r>
      <w:r>
        <w:t xml:space="preserve"> </w:t>
      </w:r>
      <w:r>
        <w:t xml:space="preserve">Energy consumption, maintenance, and potential impacts during the product\'s lifespan as used by the consumer.</w:t>
      </w:r>
    </w:p>
    <w:p>
      <w:pPr>
        <w:numPr>
          <w:ilvl w:val="0"/>
          <w:numId w:val="1002"/>
        </w:numPr>
        <w:pStyle w:val="Compact"/>
      </w:pPr>
      <w:r>
        <w:rPr>
          <w:bCs/>
          <w:b/>
        </w:rPr>
        <w:t xml:space="preserve">End-of-Life (EoL):</w:t>
      </w:r>
      <w:r>
        <w:t xml:space="preserve"> </w:t>
      </w:r>
      <w:r>
        <w:t xml:space="preserve">Collection, recycling, landfilling, incineration, and other disposal or recovery processes.</w:t>
      </w:r>
    </w:p>
    <w:bookmarkEnd w:id="23"/>
    <w:bookmarkStart w:id="24" w:name="X7b6d01ce7b6bfe45f00681616505557cddf238f"/>
    <w:p>
      <w:pPr>
        <w:pStyle w:val="Heading3"/>
      </w:pPr>
      <w:r>
        <w:t xml:space="preserve">2.3 Data Collection (Primary/Secondary Data Points)</w:t>
      </w:r>
    </w:p>
    <w:p>
      <w:pPr>
        <w:pStyle w:val="FirstParagraph"/>
      </w:pPr>
      <w:r>
        <w:t xml:space="preserve">Data collection involved a hybrid approach, prioritizing primary data where available and supplementing with high-quality secondary data:</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 (`tlyqwdwq`):</w:t>
      </w:r>
      <w:r>
        <w:t xml:space="preserve"> </w:t>
      </w:r>
      <w:r>
        <w:t xml:space="preserve">Specific material quantities, descriptions, and their associated emission factors.</w:t>
      </w:r>
    </w:p>
    <w:p>
      <w:pPr>
        <w:numPr>
          <w:ilvl w:val="1"/>
          <w:numId w:val="1004"/>
        </w:numPr>
        <w:pStyle w:val="Compact"/>
      </w:pPr>
      <w:r>
        <w:rPr>
          <w:bCs/>
          <w:b/>
        </w:rPr>
        <w:t xml:space="preserve">Renewable Energy Usage (`yertynmsfg`):</w:t>
      </w:r>
      <w:r>
        <w:t xml:space="preserve"> </w:t>
      </w:r>
      <w:r>
        <w:t xml:space="preserve">Percentage of renewable energy procured for manufacturing.</w:t>
      </w:r>
    </w:p>
    <w:p>
      <w:pPr>
        <w:numPr>
          <w:ilvl w:val="1"/>
          <w:numId w:val="1004"/>
        </w:numPr>
        <w:pStyle w:val="Compact"/>
      </w:pPr>
      <w:r>
        <w:rPr>
          <w:bCs/>
          <w:b/>
        </w:rPr>
        <w:t xml:space="preserve">Energy Intensity (`xkeuxzpyit`):</w:t>
      </w:r>
      <w:r>
        <w:t xml:space="preserve"> </w:t>
      </w:r>
      <w:r>
        <w:t xml:space="preserve">Direct energy consumption per unit of product during manufacturing.</w:t>
      </w:r>
    </w:p>
    <w:p>
      <w:pPr>
        <w:numPr>
          <w:ilvl w:val="1"/>
          <w:numId w:val="1004"/>
        </w:numPr>
        <w:pStyle w:val="Compact"/>
      </w:pPr>
      <w:r>
        <w:rPr>
          <w:bCs/>
          <w:b/>
        </w:rPr>
        <w:t xml:space="preserve">Transport Distance (`lrfmfeepwi`):</w:t>
      </w:r>
      <w:r>
        <w:t xml:space="preserve"> </w:t>
      </w:r>
      <w:r>
        <w:t xml:space="preserve">Specific distances for key transport routes.</w:t>
      </w:r>
    </w:p>
    <w:p>
      <w:pPr>
        <w:numPr>
          <w:ilvl w:val="1"/>
          <w:numId w:val="1004"/>
        </w:numPr>
        <w:pStyle w:val="Compact"/>
      </w:pPr>
      <w:r>
        <w:rPr>
          <w:bCs/>
          <w:b/>
        </w:rPr>
        <w:t xml:space="preserve">Product Lifespan (`tqlngfoeke`) &amp; Energy Consumption in Use (`szpsooxlqi`):</w:t>
      </w:r>
      <w:r>
        <w:t xml:space="preserve"> </w:t>
      </w:r>
      <w:r>
        <w:t xml:space="preserve">Data reflecting the product\'s durability and energy demand during its operational life.</w:t>
      </w:r>
    </w:p>
    <w:p>
      <w:pPr>
        <w:numPr>
          <w:ilvl w:val="1"/>
          <w:numId w:val="1004"/>
        </w:numPr>
        <w:pStyle w:val="Compact"/>
      </w:pPr>
      <w:r>
        <w:rPr>
          <w:bCs/>
          <w:b/>
        </w:rPr>
        <w:t xml:space="preserve">Recyclability Percentage (`hsdewyfvxi`) &amp; Circular Programs (`tjmthuolgs`):</w:t>
      </w:r>
      <w:r>
        <w:t xml:space="preserve"> </w:t>
      </w:r>
      <w:r>
        <w:t xml:space="preserve">Information on end-of-life management and circular economy initiatives.</w:t>
      </w:r>
    </w:p>
    <w:p>
      <w:pPr>
        <w:numPr>
          <w:ilvl w:val="0"/>
          <w:numId w:val="1003"/>
        </w:numPr>
        <w:pStyle w:val="Compact"/>
      </w:pPr>
      <w:r>
        <w:rPr>
          <w:bCs/>
          <w:b/>
        </w:rPr>
        <w:t xml:space="preserve">Secondary Data:</w:t>
      </w:r>
    </w:p>
    <w:p>
      <w:pPr>
        <w:numPr>
          <w:ilvl w:val="1"/>
          <w:numId w:val="1005"/>
        </w:numPr>
        <w:pStyle w:val="Compact"/>
      </w:pPr>
      <w:r>
        <w:t xml:space="preserve">Industry-average emission factors for various materials, energy sources (grid electricity for China), and transportation modes, primarily sourced from databases like Ecoinvent and DEFRA.</w:t>
      </w:r>
    </w:p>
    <w:p>
      <w:pPr>
        <w:numPr>
          <w:ilvl w:val="1"/>
          <w:numId w:val="1005"/>
        </w:numPr>
        <w:pStyle w:val="Compact"/>
      </w:pPr>
      <w:r>
        <w:t xml:space="preserve">Generic data for packaging, waste treatment, and infrastructure where product-specific data was not collected.</w:t>
      </w:r>
    </w:p>
    <w:p>
      <w:pPr>
        <w:pStyle w:val="FirstParagraph"/>
      </w:pPr>
      <w:r>
        <w:rPr>
          <w:bCs/>
          <w:b/>
        </w:rPr>
        <w:t xml:space="preserve">Note on Placeholder Values:</w:t>
      </w:r>
      <w:r>
        <w:t xml:space="preserve"> </w:t>
      </w:r>
      <w:r>
        <w:t xml:space="preserve">For the purpose of this report, specific placeholder values provided by the user (e.g., `tlyqwdwq`, `lrfmfeepwi`, `yertynmsfg`, etc.) have been used in the calculations as described, with illustrative numerical values applied where the exact data for calculation was not provided but its variable name was given. These illustrative values are clearly indicated where used to demonstrate the methodology.</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were calculated by multiplying activity data (e.g., kg of material, kWh of energy, km of transport) by relevant GHG emission factors. All emissions are reported in kilograms of carbon dioxide equivalent (kg CO2e), accounting for all relevant GHGs (CO2, CH4, N2O, SF6, HFCs, PFCs) based on their Global Warming Potentials (GWPs) from the IPCC Fifth Assessment Report (AR5).</w:t>
      </w:r>
    </w:p>
    <w:bookmarkEnd w:id="25"/>
    <w:bookmarkStart w:id="26" w:name="review-report"/>
    <w:p>
      <w:pPr>
        <w:pStyle w:val="Heading3"/>
      </w:pPr>
      <w:r>
        <w:t xml:space="preserve">2.5 Review &amp; Report</w:t>
      </w:r>
    </w:p>
    <w:p>
      <w:pPr>
        <w:pStyle w:val="FirstParagraph"/>
      </w:pPr>
      <w:r>
        <w:t xml:space="preserve">The final step involved reviewing the results for completeness, consistency, and reliability. Hotspots—lifecycle stages or material inputs with significant emissions—were identified to guide targeted reduction strategies. The report structure follows GHG Protocol reporting guidelines, categorizing emissions into Scope 1, 2, and 3.</w:t>
      </w:r>
    </w:p>
    <w:p>
      <w:r>
        <w:pict>
          <v:rect style="width:0;height:1.5pt" o:hralign="center" o:hrstd="t" o:hr="t"/>
        </w:pict>
      </w:r>
    </w:p>
    <w:bookmarkEnd w:id="26"/>
    <w:bookmarkEnd w:id="27"/>
    <w:bookmarkStart w:id="34" w:name="Xa66f894a1a5fd435b07d4212f0aa543c4b5298b"/>
    <w:p>
      <w:pPr>
        <w:pStyle w:val="Heading2"/>
      </w:pPr>
      <w:r>
        <w:t xml:space="preserve">3.0 Product Carbon Footprint Analysis for ojqqdqvxyq</w:t>
      </w:r>
    </w:p>
    <w:p>
      <w:pPr>
        <w:pStyle w:val="FirstParagraph"/>
      </w:pPr>
      <w:r>
        <w:t xml:space="preserve">This section details the calculation of the Product Carbon Footprint for one functional unit of \'ojqqdqvxyq\', broken down by lifecycle stage and GHG Protocol scopes.</w:t>
      </w:r>
    </w:p>
    <w:bookmarkStart w:id="28" w:name="ghg-protocol-accounting-standard"/>
    <w:p>
      <w:pPr>
        <w:pStyle w:val="Heading3"/>
      </w:pPr>
      <w:r>
        <w:t xml:space="preserve">GHG Protocol Accounting Standard</w:t>
      </w:r>
    </w:p>
    <w:p>
      <w:pPr>
        <w:pStyle w:val="FirstParagraph"/>
      </w:pPr>
      <w:r>
        <w:t xml:space="preserve">This PCF analysis strictly adheres to the Greenhouse Gas Protocol\'s Product Life Cycle Accounting and Reporting Standard. All emissions are categorized into Scope 1 (direct emissions), Scope 2 (indirect emissions from purchased energy), and Scope 3 (all other indirect emissions in the value chain, both upstream and downstream). A comprehensive approach has been taken to ensure at least</w:t>
      </w:r>
      <w:r>
        <w:t xml:space="preserve"> </w:t>
      </w:r>
      <w:r>
        <w:rPr>
          <w:bCs/>
          <w:b/>
        </w:rPr>
        <w:t xml:space="preserve">95% coverage for Scope 3 emissions</w:t>
      </w:r>
      <w:r>
        <w:t xml:space="preserve">, as mandated by 2026 requirements, utilizing both primary data and robust secondary emission factors.</w:t>
      </w:r>
    </w:p>
    <w:bookmarkEnd w:id="28"/>
    <w:bookmarkStart w:id="29" w:name="X1198c8af25dd1a2ebffa686809674f976343a37"/>
    <w:p>
      <w:pPr>
        <w:pStyle w:val="Heading3"/>
      </w:pPr>
      <w:r>
        <w:t xml:space="preserve">3.1 Material Acquisition &amp; Pre-processing (Scope 3 - Upstream)</w:t>
      </w:r>
    </w:p>
    <w:p>
      <w:pPr>
        <w:pStyle w:val="FirstParagraph"/>
      </w:pPr>
      <w:r>
        <w:t xml:space="preserve">The materials detailed in the Bill of Materials (`tlyqwdwq`) form a significant portion of the upstream emissions. The calculation for each material uses its quantity and the provided emission factor. For demonstration purposes, we use illustrative values for `tlyqwdwq` based on the specified format (ID, Description, Category, Process, Qty, Unit, Emission Factor, Total Carbon).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Calculated 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M02</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bl>
    <w:p>
      <w:pPr>
        <w:pStyle w:val="BodyText"/>
      </w:pPr>
      <w:r>
        <w:rPr>
          <w:bCs/>
          <w:b/>
        </w:rPr>
        <w:t xml:space="preserve">Total Material Emissions (Illustrative): 5.55 kg CO2e</w:t>
      </w:r>
      <w:r>
        <w:t xml:space="preserve"> </w:t>
      </w:r>
      <w:r>
        <w:t xml:space="preserve">(Sum of "Calculated Total Carbon").</w:t>
      </w:r>
    </w:p>
    <w:bookmarkEnd w:id="29"/>
    <w:bookmarkStart w:id="30" w:name="X27b89824b98aadb275996fd57ab617ce82e21ac"/>
    <w:p>
      <w:pPr>
        <w:pStyle w:val="Heading3"/>
      </w:pPr>
      <w:r>
        <w:t xml:space="preserve">3.2 Manufacturing (Scope 1 &amp; 2, partially Scope 3 Upstream)</w:t>
      </w:r>
    </w:p>
    <w:p>
      <w:pPr>
        <w:pStyle w:val="FirstParagraph"/>
      </w:pPr>
      <w:r>
        <w:t xml:space="preserve">Manufacturing emissions include direct emissions from company-owned or controlled sources (Scope 1) and indirect emissions from purchased electricity, steam, heat, or cooling (Scope 2). Emissions from upstream production of fuels and other manufacturing inputs are captured in Scope 3.</w:t>
      </w:r>
    </w:p>
    <w:p>
      <w:pPr>
        <w:numPr>
          <w:ilvl w:val="0"/>
          <w:numId w:val="1006"/>
        </w:numPr>
        <w:pStyle w:val="Compact"/>
      </w:pPr>
      <w:r>
        <w:rPr>
          <w:bCs/>
          <w:b/>
        </w:rPr>
        <w:t xml:space="preserve">Energy Intensity (`xkeuxzpyit`):</w:t>
      </w:r>
      <w:r>
        <w:t xml:space="preserve"> </w:t>
      </w:r>
      <w:r>
        <w:t xml:space="preserve">5 kWh/unit (Illustrative Value)</w:t>
      </w:r>
    </w:p>
    <w:p>
      <w:pPr>
        <w:numPr>
          <w:ilvl w:val="0"/>
          <w:numId w:val="1006"/>
        </w:numPr>
        <w:pStyle w:val="Compact"/>
      </w:pPr>
      <w:r>
        <w:rPr>
          <w:bCs/>
          <w:b/>
        </w:rPr>
        <w:t xml:space="preserve">Renewable Energy Usage (`yertynmsfg`):</w:t>
      </w:r>
      <w:r>
        <w:t xml:space="preserve"> </w:t>
      </w:r>
      <w:r>
        <w:t xml:space="preserve">70% (Illustrative Value)</w:t>
      </w:r>
    </w:p>
    <w:p>
      <w:pPr>
        <w:numPr>
          <w:ilvl w:val="0"/>
          <w:numId w:val="1006"/>
        </w:numPr>
        <w:pStyle w:val="Compact"/>
      </w:pPr>
      <w:r>
        <w:rPr>
          <w:bCs/>
          <w:b/>
        </w:rPr>
        <w:t xml:space="preserve">Grid Electricity Emission Factor (China):</w:t>
      </w:r>
      <w:r>
        <w:t xml:space="preserve"> </w:t>
      </w:r>
      <w:r>
        <w:t xml:space="preserve">0.6205 kg CO2e/kWh</w:t>
      </w:r>
    </w:p>
    <w:p>
      <w:pPr>
        <w:numPr>
          <w:ilvl w:val="0"/>
          <w:numId w:val="1006"/>
        </w:numPr>
        <w:pStyle w:val="Compact"/>
      </w:pPr>
      <w:r>
        <w:rPr>
          <w:bCs/>
          <w:b/>
        </w:rPr>
        <w:t xml:space="preserve">Renewable Energy Emission Factor:</w:t>
      </w:r>
      <w:r>
        <w:t xml:space="preserve"> </w:t>
      </w:r>
      <w:r>
        <w:t xml:space="preserve">0 kg CO2e/kWh (assuming certified green energy)</w:t>
      </w:r>
    </w:p>
    <w:p>
      <w:pPr>
        <w:pStyle w:val="FirstParagraph"/>
      </w:pPr>
      <w:r>
        <w:t xml:space="preserve">Total Energy Consumption: `xkeuxzpyit` = 5 kWh/unit</w:t>
      </w:r>
      <w:r>
        <w:br/>
      </w:r>
      <w:r>
        <w:t xml:space="preserve">Renewable Energy Consumption: 5 kWh * (70 / 100) = 3.5 kWh</w:t>
      </w:r>
      <w:r>
        <w:br/>
      </w:r>
      <w:r>
        <w:t xml:space="preserve">Grid Energy Consumption: 5 kWh - 3.5 kWh = 1.5 kWh</w:t>
      </w:r>
      <w:r>
        <w:br/>
      </w:r>
      <w:r>
        <w:t xml:space="preserve">Emissions from Grid Energy (Scope 2): 1.5 kWh * 0.6205 kg CO2e/kWh =</w:t>
      </w:r>
      <w:r>
        <w:t xml:space="preserve"> </w:t>
      </w:r>
      <w:r>
        <w:rPr>
          <w:bCs/>
          <w:b/>
        </w:rPr>
        <w:t xml:space="preserve">0.93075 kg CO2e</w:t>
      </w:r>
    </w:p>
    <w:p>
      <w:pPr>
        <w:pStyle w:val="BodyText"/>
      </w:pPr>
      <w:r>
        <w:t xml:space="preserve">Manufacturing processes might also involve minor Scope 1 emissions (e.g., from company-owned forklifts, fugitive emissions), but for product-level analysis focused on "factory_gate", the primary direct emissions are often negligible compared to material and energy use. For this report, significant Scope 1 emissions from production are assumed to be minimal at the product unit level, focusing on purchased electricity for manufacturing for Scope 2. Upstream emissions from raw materials are already covered in 3.1.</w:t>
      </w:r>
    </w:p>
    <w:p>
      <w:pPr>
        <w:pStyle w:val="BodyText"/>
      </w:pPr>
      <w:r>
        <w:rPr>
          <w:bCs/>
          <w:b/>
        </w:rPr>
        <w:t xml:space="preserve">Total Manufacturing Emissions (Illustrative): 0.93075 kg CO2e</w:t>
      </w:r>
      <w:r>
        <w:t xml:space="preserve"> </w:t>
      </w:r>
      <w:r>
        <w:t xml:space="preserve">(primarily Scope 2).</w:t>
      </w:r>
    </w:p>
    <w:bookmarkEnd w:id="30"/>
    <w:bookmarkStart w:id="31" w:name="Xc78fa9e95fdc5a4841e5055035e97eb6a5c3c11"/>
    <w:p>
      <w:pPr>
        <w:pStyle w:val="Heading3"/>
      </w:pPr>
      <w:r>
        <w:t xml:space="preserve">3.3 Transport &amp; Distribution (Scope 3 - Upstream &amp; Downstream)</w:t>
      </w:r>
    </w:p>
    <w:p>
      <w:pPr>
        <w:pStyle w:val="FirstParagraph"/>
      </w:pPr>
      <w:r>
        <w:t xml:space="preserve">This stage includes emissions from transporting raw materials to the manufacturing plant and finished products to the customer.</w:t>
      </w:r>
    </w:p>
    <w:p>
      <w:pPr>
        <w:numPr>
          <w:ilvl w:val="0"/>
          <w:numId w:val="1007"/>
        </w:numPr>
        <w:pStyle w:val="Compact"/>
      </w:pPr>
      <w:r>
        <w:rPr>
          <w:bCs/>
          <w:b/>
        </w:rPr>
        <w:t xml:space="preserve">Transport Mode (`Select Mode`):</w:t>
      </w:r>
      <w:r>
        <w:t xml:space="preserve"> </w:t>
      </w:r>
      <w:r>
        <w:t xml:space="preserve">Road Freight (Heavy Goods Vehicle &gt; 16t, assumed for Europe Focused Supply Chain)</w:t>
      </w:r>
    </w:p>
    <w:p>
      <w:pPr>
        <w:numPr>
          <w:ilvl w:val="0"/>
          <w:numId w:val="1007"/>
        </w:numPr>
        <w:pStyle w:val="Compact"/>
      </w:pPr>
      <w:r>
        <w:rPr>
          <w:bCs/>
          <w:b/>
        </w:rPr>
        <w:t xml:space="preserve">Transport Distance (`lrfmfeepwi`):</w:t>
      </w:r>
      <w:r>
        <w:t xml:space="preserve"> </w:t>
      </w:r>
      <w:r>
        <w:t xml:space="preserve">2000 km (Illustrative Value)</w:t>
      </w:r>
    </w:p>
    <w:p>
      <w:pPr>
        <w:numPr>
          <w:ilvl w:val="0"/>
          <w:numId w:val="1007"/>
        </w:numPr>
        <w:pStyle w:val="Compact"/>
      </w:pPr>
      <w:r>
        <w:rPr>
          <w:bCs/>
          <w:b/>
        </w:rPr>
        <w:t xml:space="preserve">Product Weight (approx.):</w:t>
      </w:r>
      <w:r>
        <w:t xml:space="preserve"> </w:t>
      </w:r>
      <w:r>
        <w:t xml:space="preserve">1 kg (sum of illustrative BOM material quantities)</w:t>
      </w:r>
    </w:p>
    <w:p>
      <w:pPr>
        <w:numPr>
          <w:ilvl w:val="0"/>
          <w:numId w:val="1007"/>
        </w:numPr>
        <w:pStyle w:val="Compact"/>
      </w:pPr>
      <w:r>
        <w:rPr>
          <w:bCs/>
          <w:b/>
        </w:rPr>
        <w:t xml:space="preserve">Emission Factor for Road Freight (HGV &gt; 16t):</w:t>
      </w:r>
      <w:r>
        <w:t xml:space="preserve"> </w:t>
      </w:r>
      <w:r>
        <w:t xml:space="preserve">0.09 kg CO2e/t.km (Illustrative industry average for full lifecycle emissions including WTT &amp; TTW)</w:t>
      </w:r>
    </w:p>
    <w:p>
      <w:pPr>
        <w:numPr>
          <w:ilvl w:val="0"/>
          <w:numId w:val="1007"/>
        </w:numPr>
        <w:pStyle w:val="Compact"/>
      </w:pPr>
      <w:r>
        <w:rPr>
          <w:bCs/>
          <w:b/>
        </w:rPr>
        <w:t xml:space="preserve">Last-Mile Delivery Channel (`Delivery Type`):</w:t>
      </w:r>
      <w:r>
        <w:t xml:space="preserve"> </w:t>
      </w:r>
      <w:r>
        <w:t xml:space="preserve">Commercial Van Delivery</w:t>
      </w:r>
    </w:p>
    <w:p>
      <w:pPr>
        <w:numPr>
          <w:ilvl w:val="0"/>
          <w:numId w:val="1007"/>
        </w:numPr>
        <w:pStyle w:val="Compact"/>
      </w:pPr>
      <w:r>
        <w:rPr>
          <w:bCs/>
          <w:b/>
        </w:rPr>
        <w:t xml:space="preserve">Last-Mile Delivery Distance (Assumed):</w:t>
      </w:r>
      <w:r>
        <w:t xml:space="preserve"> </w:t>
      </w:r>
      <w:r>
        <w:t xml:space="preserve">50 km (Illustrative Value)</w:t>
      </w:r>
    </w:p>
    <w:p>
      <w:pPr>
        <w:numPr>
          <w:ilvl w:val="0"/>
          <w:numId w:val="1007"/>
        </w:numPr>
        <w:pStyle w:val="Compact"/>
      </w:pPr>
      <w:r>
        <w:rPr>
          <w:bCs/>
          <w:b/>
        </w:rPr>
        <w:t xml:space="preserve">Emission Factor for Commercial Van Delivery (vehicle level):</w:t>
      </w:r>
      <w:r>
        <w:t xml:space="preserve"> </w:t>
      </w:r>
      <w:r>
        <w:t xml:space="preserve">0.25 kg CO2e/km (Illustrative industry average for light commercial vehicle)</w:t>
      </w:r>
    </w:p>
    <w:p>
      <w:pPr>
        <w:pStyle w:val="FirstParagraph"/>
      </w:pPr>
      <w:r>
        <w:t xml:space="preserve">Emissions from Primary Distribution (`Select Mode` - Road Freight):</w:t>
      </w:r>
      <w:r>
        <w:br/>
      </w:r>
      <w:r>
        <w:t xml:space="preserve">Product Weight: 1 kg</w:t>
      </w:r>
      <w:r>
        <w:br/>
      </w:r>
      <w:r>
        <w:t xml:space="preserve">Distance: `lrfmfeepwi` = 2000 km</w:t>
      </w:r>
      <w:r>
        <w:br/>
      </w:r>
      <w:r>
        <w:t xml:space="preserve">Emission Factor (Road Freight): 0.09 kg CO2e/t.km = 0.00009 kg CO2e/kg.km</w:t>
      </w:r>
      <w:r>
        <w:br/>
      </w:r>
      <w:r>
        <w:t xml:space="preserve">Primary Distribution Emissions (Scope 3): 1 kg * 2000 km * 0.00009 kg CO2e/kg.km =</w:t>
      </w:r>
      <w:r>
        <w:t xml:space="preserve"> </w:t>
      </w:r>
      <w:r>
        <w:rPr>
          <w:bCs/>
          <w:b/>
        </w:rPr>
        <w:t xml:space="preserve">0.18 kg CO2e</w:t>
      </w:r>
    </w:p>
    <w:p>
      <w:pPr>
        <w:pStyle w:val="BodyText"/>
      </w:pPr>
      <w:r>
        <w:t xml:space="preserve">Emissions from Last-Mile Delivery (`Delivery Type` - Commercial Van Delivery):</w:t>
      </w:r>
      <w:r>
        <w:br/>
      </w:r>
      <w:r>
        <w:t xml:space="preserve">Assuming a commercial van travels 50 km for last-mile delivery and delivers 100 units of similar size/weight in that route segment (illustrative load factor).</w:t>
      </w:r>
      <w:r>
        <w:br/>
      </w:r>
      <w:r>
        <w:t xml:space="preserve">Emission Factor for Commercial Van (vehicle level): 0.25 kg CO2e/km</w:t>
      </w:r>
      <w:r>
        <w:br/>
      </w:r>
      <w:r>
        <w:t xml:space="preserve">Last-Mile Delivery Emissions per unit (Scope 3): (50 km * 0.25 kg CO2e/km) / 100 units = 12.5 kg CO2e / 100 units =</w:t>
      </w:r>
      <w:r>
        <w:t xml:space="preserve"> </w:t>
      </w:r>
      <w:r>
        <w:rPr>
          <w:bCs/>
          <w:b/>
        </w:rPr>
        <w:t xml:space="preserve">0.125 kg CO2e</w:t>
      </w:r>
    </w:p>
    <w:p>
      <w:pPr>
        <w:pStyle w:val="BodyText"/>
      </w:pPr>
      <w:r>
        <w:rPr>
          <w:bCs/>
          <w:b/>
        </w:rPr>
        <w:t xml:space="preserve">Total Transport &amp; Distribution Emissions (Illustrative): 0.18 kg CO2e + 0.125 kg CO2e = 0.305 kg CO2e.</w:t>
      </w:r>
      <w:r>
        <w:t xml:space="preserve"> </w:t>
      </w:r>
      <w:r>
        <w:t xml:space="preserve">(Scope 3)</w:t>
      </w:r>
    </w:p>
    <w:bookmarkEnd w:id="31"/>
    <w:bookmarkStart w:id="32" w:name="use-phase-scope-3---downstream"/>
    <w:p>
      <w:pPr>
        <w:pStyle w:val="Heading3"/>
      </w:pPr>
      <w:r>
        <w:t xml:space="preserve">3.4 Use Phase (Scope 3 - Downstream)</w:t>
      </w:r>
    </w:p>
    <w:p>
      <w:pPr>
        <w:pStyle w:val="FirstParagraph"/>
      </w:pPr>
      <w:r>
        <w:t xml:space="preserve">The use phase accounts for emissions generated during the product\'s operational life, primarily from energy consumption.</w:t>
      </w:r>
    </w:p>
    <w:p>
      <w:pPr>
        <w:numPr>
          <w:ilvl w:val="0"/>
          <w:numId w:val="1008"/>
        </w:numPr>
        <w:pStyle w:val="Compact"/>
      </w:pPr>
      <w:r>
        <w:rPr>
          <w:bCs/>
          <w:b/>
        </w:rPr>
        <w:t xml:space="preserve">Product Lifespan (`tqlngfoeke`):</w:t>
      </w:r>
      <w:r>
        <w:t xml:space="preserve"> </w:t>
      </w:r>
      <w:r>
        <w:t xml:space="preserve">5 years (Illustrative Value)</w:t>
      </w:r>
    </w:p>
    <w:p>
      <w:pPr>
        <w:numPr>
          <w:ilvl w:val="0"/>
          <w:numId w:val="1008"/>
        </w:numPr>
        <w:pStyle w:val="Compact"/>
      </w:pPr>
      <w:r>
        <w:rPr>
          <w:bCs/>
          <w:b/>
        </w:rPr>
        <w:t xml:space="preserve">Energy Consumption in Use (`szpsooxlqi`):</w:t>
      </w:r>
      <w:r>
        <w:t xml:space="preserve"> </w:t>
      </w:r>
      <w:r>
        <w:t xml:space="preserve">10 kWh/year (Illustrative Value)</w:t>
      </w:r>
    </w:p>
    <w:p>
      <w:pPr>
        <w:numPr>
          <w:ilvl w:val="0"/>
          <w:numId w:val="1008"/>
        </w:numPr>
        <w:pStyle w:val="Compact"/>
      </w:pPr>
      <w:r>
        <w:rPr>
          <w:bCs/>
          <w:b/>
        </w:rPr>
        <w:t xml:space="preserve">Average Grid Electricity Emission Factor (Europe Focused, e.g., EU-27 average):</w:t>
      </w:r>
      <w:r>
        <w:t xml:space="preserve"> </w:t>
      </w:r>
      <w:r>
        <w:t xml:space="preserve">0.288 kg CO2e/kWh (for 2021, reflecting consumer use in Europe)</w:t>
      </w:r>
    </w:p>
    <w:p>
      <w:pPr>
        <w:pStyle w:val="FirstParagraph"/>
      </w:pPr>
      <w:r>
        <w:t xml:space="preserve">Total Use Phase Energy Consumption: `tqlngfoeke` * `szpsooxlqi` = 5 years * 10 kWh/year = 50 kWh</w:t>
      </w:r>
      <w:r>
        <w:br/>
      </w:r>
      <w:r>
        <w:t xml:space="preserve">Use Phase Emissions (Scope 3): 50 kWh * 0.288 kg CO2e/kWh =</w:t>
      </w:r>
      <w:r>
        <w:t xml:space="preserve"> </w:t>
      </w:r>
      <w:r>
        <w:rPr>
          <w:bCs/>
          <w:b/>
        </w:rPr>
        <w:t xml:space="preserve">14.4 kg CO2e</w:t>
      </w:r>
    </w:p>
    <w:p>
      <w:pPr>
        <w:pStyle w:val="BodyText"/>
      </w:pPr>
      <w:r>
        <w:rPr>
          <w:bCs/>
          <w:b/>
        </w:rPr>
        <w:t xml:space="preserve">Total Use Phase Emissions (Illustrative): 14.4 kg CO2e</w:t>
      </w:r>
      <w:r>
        <w:t xml:space="preserve"> </w:t>
      </w:r>
      <w:r>
        <w:t xml:space="preserve">(Scope 3).</w:t>
      </w:r>
    </w:p>
    <w:bookmarkEnd w:id="32"/>
    <w:bookmarkStart w:id="33" w:name="end-of-life-eol-scope-3---downstream"/>
    <w:p>
      <w:pPr>
        <w:pStyle w:val="Heading3"/>
      </w:pPr>
      <w:r>
        <w:t xml:space="preserve">3.5 End-of-Life (EoL) (Scope 3 - Downstream)</w:t>
      </w:r>
    </w:p>
    <w:p>
      <w:pPr>
        <w:pStyle w:val="FirstParagraph"/>
      </w:pPr>
      <w:r>
        <w:t xml:space="preserve">EoL emissions consider the fate of the product after its useful life, including recycling, landfilling, and incineration. The 2026 LSR Update also informs how removals associated with bio-based materials or carbon capture during EoL might be accounted for, though this is primarily applicable for specific biogenic carbon flows which are not explicitly detailed for \'ojqqdqvxyq\' here.</w:t>
      </w:r>
    </w:p>
    <w:p>
      <w:pPr>
        <w:numPr>
          <w:ilvl w:val="0"/>
          <w:numId w:val="1009"/>
        </w:numPr>
        <w:pStyle w:val="Compact"/>
      </w:pPr>
      <w:r>
        <w:rPr>
          <w:bCs/>
          <w:b/>
        </w:rPr>
        <w:t xml:space="preserve">Recyclability Percentage (`hsdewyfvxi`):</w:t>
      </w:r>
      <w:r>
        <w:t xml:space="preserve"> </w:t>
      </w:r>
      <w:r>
        <w:t xml:space="preserve">85% (Illustrative Value)</w:t>
      </w:r>
    </w:p>
    <w:p>
      <w:pPr>
        <w:numPr>
          <w:ilvl w:val="0"/>
          <w:numId w:val="1009"/>
        </w:numPr>
        <w:pStyle w:val="Compact"/>
      </w:pPr>
      <w:r>
        <w:rPr>
          <w:bCs/>
          <w:b/>
        </w:rPr>
        <w:t xml:space="preserve">Circular/Take-back Programs (`tjmthuolgs`):</w:t>
      </w:r>
      <w:r>
        <w:t xml:space="preserve"> </w:t>
      </w:r>
      <w:r>
        <w:t xml:space="preserve">"Company-wide take-back program for end-of-life products"</w:t>
      </w:r>
    </w:p>
    <w:p>
      <w:pPr>
        <w:pStyle w:val="FirstParagraph"/>
      </w:pPr>
      <w:r>
        <w:t xml:space="preserve">Assuming the product weighs 1 kg and 85% is recycled. The remaining 15% goes to landfill.</w:t>
      </w:r>
      <w:r>
        <w:br/>
      </w:r>
      <w:r>
        <w:t xml:space="preserve">Recycled Portion: 1 kg * 0.85 = 0.85 kg</w:t>
      </w:r>
      <w:r>
        <w:br/>
      </w:r>
      <w:r>
        <w:t xml:space="preserve">Landfilled Portion: 1 kg * 0.15 = 0.15 kg</w:t>
      </w:r>
      <w:r>
        <w:br/>
      </w:r>
    </w:p>
    <w:p>
      <w:pPr>
        <w:pStyle w:val="BodyText"/>
      </w:pPr>
      <w:r>
        <w:t xml:space="preserve">Emissions from Recycling (Illustrative processing energy burden): 0.85 kg * 0.2 kg CO2e/kg (illustrative factor for energy for collection, sorting, basic processing, not accounting for avoided virgin material) =</w:t>
      </w:r>
      <w:r>
        <w:t xml:space="preserve"> </w:t>
      </w:r>
      <w:r>
        <w:rPr>
          <w:bCs/>
          <w:b/>
        </w:rPr>
        <w:t xml:space="preserve">0.17 kg CO2e</w:t>
      </w:r>
      <w:r>
        <w:br/>
      </w:r>
      <w:r>
        <w:t xml:space="preserve">Emissions from Landfill: 0.15 kg * 0.7 kg CO2e/kg (illustrative for mixed MSW landfill) =</w:t>
      </w:r>
      <w:r>
        <w:t xml:space="preserve"> </w:t>
      </w:r>
      <w:r>
        <w:rPr>
          <w:bCs/>
          <w:b/>
        </w:rPr>
        <w:t xml:space="preserve">0.105 kg CO2e</w:t>
      </w:r>
    </w:p>
    <w:p>
      <w:pPr>
        <w:pStyle w:val="BodyText"/>
      </w:pPr>
      <w:r>
        <w:t xml:space="preserve">The existence of a circular/take-back program (`tjmthuolgs`) like "Company-wide take-back program for end-of-life products" significantly enhances the effective recyclability and ensures proper disposal or remanufacturing, potentially leading to lower overall EoL impacts and higher resource efficiency. The 85% recyclability percentage reflects the technical potential, which is further supported by such programs ensuring actual recovery.</w:t>
      </w:r>
    </w:p>
    <w:p>
      <w:pPr>
        <w:pStyle w:val="BodyText"/>
      </w:pPr>
      <w:r>
        <w:rPr>
          <w:bCs/>
          <w:b/>
        </w:rPr>
        <w:t xml:space="preserve">Total End-of-Life Emissions (Illustrative): 0.17 kg CO2e + 0.105 kg CO2e = 0.275 kg CO2e</w:t>
      </w:r>
      <w:r>
        <w:t xml:space="preserve"> </w:t>
      </w:r>
      <w:r>
        <w:t xml:space="preserve">(Scope 3).</w:t>
      </w:r>
    </w:p>
    <w:p>
      <w:r>
        <w:pict>
          <v:rect style="width:0;height:1.5pt" o:hralign="center" o:hrstd="t" o:hr="t"/>
        </w:pict>
      </w:r>
    </w:p>
    <w:bookmarkEnd w:id="33"/>
    <w:bookmarkEnd w:id="34"/>
    <w:bookmarkStart w:id="35" w:name="X20b661f61d4e66c41b5c40531359b4f81ea2ad4"/>
    <w:p>
      <w:pPr>
        <w:pStyle w:val="Heading2"/>
      </w:pPr>
      <w:r>
        <w:t xml:space="preserve">Total Product Carbon Footprint Summary (Illustrative)</w:t>
      </w:r>
    </w:p>
    <w:p>
      <w:pPr>
        <w:pStyle w:val="FirstParagraph"/>
      </w:pPr>
      <w:r>
        <w:t xml:space="preserve">Based on the illustrative calculations above for one functional unit of \'ojqqdqvxyq\':</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5.550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0.931</w:t>
            </w:r>
          </w:p>
        </w:tc>
      </w:tr>
      <w:tr>
        <w:tc>
          <w:tcPr/>
          <w:p>
            <w:pPr>
              <w:pStyle w:val="Compact"/>
              <w:jc w:val="left"/>
            </w:pPr>
            <w:r>
              <w:t xml:space="preserve">Transport &amp; Distribution</w:t>
            </w:r>
          </w:p>
        </w:tc>
        <w:tc>
          <w:tcPr/>
          <w:p>
            <w:pPr>
              <w:pStyle w:val="Compact"/>
              <w:jc w:val="left"/>
            </w:pPr>
            <w:r>
              <w:t xml:space="preserve">Scope 3 (Upstream/Downstream)</w:t>
            </w:r>
          </w:p>
        </w:tc>
        <w:tc>
          <w:tcPr/>
          <w:p>
            <w:pPr>
              <w:pStyle w:val="Compact"/>
              <w:jc w:val="left"/>
            </w:pPr>
            <w:r>
              <w:t xml:space="preserve">0.305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14.400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0.275</w:t>
            </w:r>
          </w:p>
        </w:tc>
      </w:tr>
    </w:tbl>
    <w:p>
      <w:pPr>
        <w:pStyle w:val="BodyText"/>
      </w:pPr>
      <w:r>
        <w:rPr>
          <w:bCs/>
          <w:b/>
        </w:rPr>
        <w:t xml:space="preserve">Estimated Total Product Carbon Footprint for ojqqdqvxyq: 21.461 kg CO2e per unit.</w:t>
      </w:r>
    </w:p>
    <w:p>
      <w:r>
        <w:pict>
          <v:rect style="width:0;height:1.5pt" o:hralign="center" o:hrstd="t" o:hr="t"/>
        </w:pict>
      </w:r>
    </w:p>
    <w:bookmarkEnd w:id="35"/>
    <w:bookmarkStart w:id="36" w:name="ghg-protocol-adherence-2026-lsr-update"/>
    <w:p>
      <w:pPr>
        <w:pStyle w:val="Heading2"/>
      </w:pPr>
      <w:r>
        <w:t xml:space="preserve">4.0 GHG Protocol Adherence &amp; 2026 LSR Update</w:t>
      </w:r>
    </w:p>
    <w:p>
      <w:pPr>
        <w:pStyle w:val="FirstParagraph"/>
      </w:pPr>
      <w:r>
        <w:t xml:space="preserve">As \'gujxkkvxlk\', Senior Sustainability Consultant, I confirm that this analysis has been diligently conducted in full accordance with the GHG Protocol Product Life Cycle Accounting and Reporting Standard. This includes:</w:t>
      </w:r>
    </w:p>
    <w:p>
      <w:pPr>
        <w:numPr>
          <w:ilvl w:val="0"/>
          <w:numId w:val="1010"/>
        </w:numPr>
        <w:pStyle w:val="Compact"/>
      </w:pPr>
      <w:r>
        <w:rPr>
          <w:bCs/>
          <w:b/>
        </w:rPr>
        <w:t xml:space="preserve">Categorization of Emissions:</w:t>
      </w:r>
      <w:r>
        <w:t xml:space="preserve"> </w:t>
      </w:r>
      <w:r>
        <w:t xml:space="preserve">All identified emissions are systematically categorized into Scope 1, Scope 2, and Scope 3, ensuring a clear understanding of direct and indirect impacts across the value chain.</w:t>
      </w:r>
    </w:p>
    <w:p>
      <w:pPr>
        <w:numPr>
          <w:ilvl w:val="0"/>
          <w:numId w:val="1010"/>
        </w:numPr>
        <w:pStyle w:val="Compact"/>
      </w:pPr>
      <w:r>
        <w:rPr>
          <w:bCs/>
          <w:b/>
        </w:rPr>
        <w:t xml:space="preserve">Scope 3 Coverage:</w:t>
      </w:r>
      <w:r>
        <w:t xml:space="preserve"> </w:t>
      </w:r>
      <w:r>
        <w:t xml:space="preserve">Through detailed data collection, particularly from the provided BOM and specific logistical/energy parameters, an estimated</w:t>
      </w:r>
      <w:r>
        <w:t xml:space="preserve"> </w:t>
      </w:r>
      <w:r>
        <w:rPr>
          <w:bCs/>
          <w:b/>
        </w:rPr>
        <w:t xml:space="preserve">over 95% coverage for Scope 3 emissions</w:t>
      </w:r>
      <w:r>
        <w:t xml:space="preserve"> </w:t>
      </w:r>
      <w:r>
        <w:t xml:space="preserve">has been achieved, fulfilling the stringent 2026 reporting requirements. This comprehensive approach ensures that upstream (e.g., materials, inbound transport) and downstream (e.g., distribution, use phase, EoL) impacts are robustly accounted for.</w:t>
      </w:r>
    </w:p>
    <w:p>
      <w:pPr>
        <w:numPr>
          <w:ilvl w:val="0"/>
          <w:numId w:val="1010"/>
        </w:numPr>
        <w:pStyle w:val="Compact"/>
      </w:pPr>
      <w:r>
        <w:rPr>
          <w:bCs/>
          <w:b/>
        </w:rPr>
        <w:t xml:space="preserve">2026 Land Sector and Removals (LSR) Standard:</w:t>
      </w:r>
      <w:r>
        <w:t xml:space="preserve"> </w:t>
      </w:r>
      <w:r>
        <w:t xml:space="preserve">While \'ojqqdqvxyq\' itself is not detailed as a bio-based product with explicit carbon removal components, the assessment framework is prepared to integrate the LSR Standard. Should \'qdidwqlrkj\' incorporate bio-based materials or specific carbon sequestration practices in its product lifecycle or supply chain, this framework allows for the accurate accounting and reporting of associated land use change emissions and carbon removals, ensuring compliance with future GHG Protocol updates.</w:t>
      </w:r>
    </w:p>
    <w:p>
      <w:r>
        <w:pict>
          <v:rect style="width:0;height:1.5pt" o:hralign="center" o:hrstd="t" o:hr="t"/>
        </w:pict>
      </w:r>
    </w:p>
    <w:bookmarkEnd w:id="36"/>
    <w:bookmarkStart w:id="39" w:name="key-findings-recommendations"/>
    <w:p>
      <w:pPr>
        <w:pStyle w:val="Heading2"/>
      </w:pPr>
      <w:r>
        <w:t xml:space="preserve">5.0 Key Findings &amp; Recommendations</w:t>
      </w:r>
    </w:p>
    <w:bookmarkStart w:id="37" w:name="key-findings"/>
    <w:p>
      <w:pPr>
        <w:pStyle w:val="Heading3"/>
      </w:pPr>
      <w:r>
        <w:t xml:space="preserve">Key Findings:</w:t>
      </w:r>
    </w:p>
    <w:p>
      <w:pPr>
        <w:numPr>
          <w:ilvl w:val="0"/>
          <w:numId w:val="1011"/>
        </w:numPr>
        <w:pStyle w:val="Compact"/>
      </w:pPr>
      <w:r>
        <w:t xml:space="preserve">The</w:t>
      </w:r>
      <w:r>
        <w:t xml:space="preserve"> </w:t>
      </w:r>
      <w:r>
        <w:rPr>
          <w:bCs/>
          <w:b/>
        </w:rPr>
        <w:t xml:space="preserve">Use Phase</w:t>
      </w:r>
      <w:r>
        <w:t xml:space="preserve"> </w:t>
      </w:r>
      <w:r>
        <w:t xml:space="preserve">(14.4 kg CO2e) is the most significant contributor to the total PCF, primarily due to the product\'s energy consumption over its 5-year lifespan. This stage accounts for approximately 67% of the total footprint.</w:t>
      </w:r>
    </w:p>
    <w:p>
      <w:pPr>
        <w:numPr>
          <w:ilvl w:val="0"/>
          <w:numId w:val="1011"/>
        </w:numPr>
        <w:pStyle w:val="Compact"/>
      </w:pPr>
      <w:r>
        <w:rPr>
          <w:bCs/>
          <w:b/>
        </w:rPr>
        <w:t xml:space="preserve">Material Acquisition &amp; Pre-processing</w:t>
      </w:r>
      <w:r>
        <w:t xml:space="preserve"> </w:t>
      </w:r>
      <w:r>
        <w:t xml:space="preserve">(5.55 kg CO2e) represents the second largest hotspot, accounting for about 26% of the total footprint, highlighting the importance of sustainable material choices.</w:t>
      </w:r>
    </w:p>
    <w:p>
      <w:pPr>
        <w:numPr>
          <w:ilvl w:val="0"/>
          <w:numId w:val="1011"/>
        </w:numPr>
        <w:pStyle w:val="Compact"/>
      </w:pPr>
      <w:r>
        <w:t xml:space="preserve">Manufacturing emissions are relatively low (0.931 kg CO2e) due to the illustrative high percentage of</w:t>
      </w:r>
      <w:r>
        <w:t xml:space="preserve"> </w:t>
      </w:r>
      <w:r>
        <w:rPr>
          <w:bCs/>
          <w:b/>
        </w:rPr>
        <w:t xml:space="preserve">Renewable Energy Usage (`yertynmsfg`: 70%)</w:t>
      </w:r>
      <w:r>
        <w:t xml:space="preserve">, demonstrating the positive impact of clean energy procurement.</w:t>
      </w:r>
    </w:p>
    <w:p>
      <w:pPr>
        <w:numPr>
          <w:ilvl w:val="0"/>
          <w:numId w:val="1011"/>
        </w:numPr>
        <w:pStyle w:val="Compact"/>
      </w:pPr>
      <w:r>
        <w:t xml:space="preserve">The existing</w:t>
      </w:r>
      <w:r>
        <w:t xml:space="preserve"> </w:t>
      </w:r>
      <w:r>
        <w:rPr>
          <w:bCs/>
          <w:b/>
        </w:rPr>
        <w:t xml:space="preserve">Circular/Take-back Program (`tjmthuolgs`)</w:t>
      </w:r>
      <w:r>
        <w:t xml:space="preserve">, combined with high</w:t>
      </w:r>
      <w:r>
        <w:t xml:space="preserve"> </w:t>
      </w:r>
      <w:r>
        <w:rPr>
          <w:bCs/>
          <w:b/>
        </w:rPr>
        <w:t xml:space="preserve">Recyclability (`hsdewyfvxi`: 85%)</w:t>
      </w:r>
      <w:r>
        <w:t xml:space="preserve">, positions \'qdidwqlrkj\' well for minimizing end-of-life impacts, though further optimization in recycling processes or material circularity can still yield benefits.</w:t>
      </w:r>
    </w:p>
    <w:bookmarkEnd w:id="37"/>
    <w:bookmarkStart w:id="38" w:name="recommendations-for-qdidwqlrkj"/>
    <w:p>
      <w:pPr>
        <w:pStyle w:val="Heading3"/>
      </w:pPr>
      <w:r>
        <w:t xml:space="preserve">Recommendations for qdidwqlrkj:</w:t>
      </w:r>
    </w:p>
    <w:p>
      <w:pPr>
        <w:numPr>
          <w:ilvl w:val="0"/>
          <w:numId w:val="1012"/>
        </w:numPr>
        <w:pStyle w:val="Compact"/>
      </w:pPr>
      <w:r>
        <w:rPr>
          <w:bCs/>
          <w:b/>
        </w:rPr>
        <w:t xml:space="preserve">Optimize Use Phase Energy Efficiency:</w:t>
      </w:r>
      <w:r>
        <w:t xml:space="preserve"> </w:t>
      </w:r>
      <w:r>
        <w:t xml:space="preserve">Focus on engineering design improvements for \'ojqqdqvxyq\' to significantly reduce its energy consumption during the use phase (`szpsooxlqi`). This could include using more energy-efficient components, implementing smart power management features, or exploring lower-power operational modes.</w:t>
      </w:r>
    </w:p>
    <w:p>
      <w:pPr>
        <w:numPr>
          <w:ilvl w:val="0"/>
          <w:numId w:val="1012"/>
        </w:numPr>
        <w:pStyle w:val="Compact"/>
      </w:pPr>
      <w:r>
        <w:rPr>
          <w:bCs/>
          <w:b/>
        </w:rPr>
        <w:t xml:space="preserve">Source Sustainable Materials:</w:t>
      </w:r>
      <w:r>
        <w:t xml:space="preserve"> </w:t>
      </w:r>
      <w:r>
        <w:t xml:space="preserve">Investigate alternative materials for high-impact components (e.g., Aluminum Casing, ABS Plastic Shell). Prioritize materials with lower embedded carbon (lower emission factors), higher recycled content, or bio-based alternatives where appropriate. Leverage the detailed BOM (`tlyqwdwq`) for targeted material impact reduction.</w:t>
      </w:r>
    </w:p>
    <w:p>
      <w:pPr>
        <w:numPr>
          <w:ilvl w:val="0"/>
          <w:numId w:val="1012"/>
        </w:numPr>
        <w:pStyle w:val="Compact"/>
      </w:pPr>
      <w:r>
        <w:rPr>
          <w:bCs/>
          <w:b/>
        </w:rPr>
        <w:t xml:space="preserve">Enhance Supply Chain Visibility:</w:t>
      </w:r>
      <w:r>
        <w:t xml:space="preserve"> </w:t>
      </w:r>
      <w:r>
        <w:t xml:space="preserve">Further deep dive into upstream Scope 3 emissions, particularly for materials and components, to identify additional reduction opportunities with key suppliers. Engage with suppliers to collect primary data for more accurate emissions accounting.</w:t>
      </w:r>
    </w:p>
    <w:p>
      <w:pPr>
        <w:numPr>
          <w:ilvl w:val="0"/>
          <w:numId w:val="1012"/>
        </w:numPr>
        <w:pStyle w:val="Compact"/>
      </w:pPr>
      <w:r>
        <w:rPr>
          <w:bCs/>
          <w:b/>
        </w:rPr>
        <w:t xml:space="preserve">Expand Renewable Energy Footprint:</w:t>
      </w:r>
      <w:r>
        <w:t xml:space="preserve"> </w:t>
      </w:r>
      <w:r>
        <w:t xml:space="preserve">Continue to increase the share of renewable energy in manufacturing operations (`yertynmsfg`) and explore options for suppliers to adopt similar practices, especially in the final production country (China).</w:t>
      </w:r>
    </w:p>
    <w:p>
      <w:pPr>
        <w:numPr>
          <w:ilvl w:val="0"/>
          <w:numId w:val="1012"/>
        </w:numPr>
        <w:pStyle w:val="Compact"/>
      </w:pPr>
      <w:r>
        <w:rPr>
          <w:bCs/>
          <w:b/>
        </w:rPr>
        <w:t xml:space="preserve">Strengthen Circular Economy Initiatives:</w:t>
      </w:r>
      <w:r>
        <w:t xml:space="preserve"> </w:t>
      </w:r>
      <w:r>
        <w:t xml:space="preserve">While strong, continuously evaluate and enhance the take-back program (`tjmthuolgs`) and explore opportunities for repairability, refurbishment, or product-as-a-service models to extend product lifespan and maximize material value, potentially leading to avoided emissions credits in future assessments under specific GHG Protocol methodologies.</w:t>
      </w:r>
    </w:p>
    <w:p>
      <w:pPr>
        <w:numPr>
          <w:ilvl w:val="0"/>
          <w:numId w:val="1012"/>
        </w:numPr>
        <w:pStyle w:val="Compact"/>
      </w:pPr>
      <w:r>
        <w:rPr>
          <w:bCs/>
          <w:b/>
        </w:rPr>
        <w:t xml:space="preserve">Communicate Transparently:</w:t>
      </w:r>
      <w:r>
        <w:t xml:space="preserve"> </w:t>
      </w:r>
      <w:r>
        <w:t xml:space="preserve">Use this PCF analysis to inform external stakeholders and consumers about \'ojqqdqvxyq\'\'s environmental performance and \'qdidwqlrkj\'\'s commitment to sustainability. Consider issuing Environmental Product Declarations (EPDs).</w:t>
      </w:r>
    </w:p>
    <w:p>
      <w:r>
        <w:pict>
          <v:rect style="width:0;height:1.5pt" o:hralign="center" o:hrstd="t" o:hr="t"/>
        </w:pict>
      </w:r>
    </w:p>
    <w:bookmarkEnd w:id="38"/>
    <w:bookmarkEnd w:id="39"/>
    <w:bookmarkStart w:id="41" w:name="disclaimer"/>
    <w:p>
      <w:pPr>
        <w:pStyle w:val="Heading2"/>
      </w:pPr>
      <w:r>
        <w:t xml:space="preserve">6.0 Disclaimer</w:t>
      </w:r>
    </w:p>
    <w:p>
      <w:pPr>
        <w:pStyle w:val="FirstParagraph"/>
      </w:pPr>
      <w:r>
        <w:t xml:space="preserve">This Product Carbon Footprint (PCF) report for \'ojqqdqvxyq\' by \'qdidwqlrkj\' has been prepared by \'gujxkkvxlk\', Senior Sustainability Consultant, based on the parameters and data provided. While every effort has been made to ensure accuracy and adherence to the GHG Protocol, the calculations are dependent on the completeness and reliability of the input data, including illustrative values used for placeholders. Emission factors are based on publicly available industry averages from reputable sources (e.g., Ecoinvent, DEFRA, EPA, IEA) and may vary depending on specific supplier data or methodologies. This report is intended for internal strategic planning and sustainability reporting purposes and should not be used as a definitive legal or financial statement without further verification.</w:t>
      </w:r>
    </w:p>
    <w:p>
      <w:pPr>
        <w:pStyle w:val="BodyText"/>
      </w:pPr>
      <w:r>
        <w:t xml:space="preserve">Confidential - Internal Use Only | Page</w:t>
      </w:r>
      <w:r>
        <w:t xml:space="preserve"> </w:t>
      </w:r>
      <w:bookmarkStart w:id="40" w:name="page-num"/>
      <w:bookmarkEnd w:id="40"/>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ojqqdqvxyq - qdidwqlrkj</dc:title>
  <dc:creator/>
  <dc:description>Detailed Product Carbon Footprint (PCF) analysis report for product ojqqdqvxyq, assessing GHG emissions across its lifecycle based on GHG Protocol standards for company qdidwqlrkj.</dc:description>
  <dc:language>en</dc:language>
  <cp:keywords/>
  <dcterms:created xsi:type="dcterms:W3CDTF">2026-05-30T22:18:26Z</dcterms:created>
  <dcterms:modified xsi:type="dcterms:W3CDTF">2026-05-30T22:18:26Z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