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ogjgxzvreg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ogjgxzvreg</w:t>
      </w:r>
    </w:p>
    <w:p>
      <w:pPr>
        <w:pStyle w:val="BodyText"/>
      </w:pPr>
      <w:r>
        <w:t xml:space="preserve">Company: qekwlqlhny</w:t>
      </w:r>
    </w:p>
    <w:p>
      <w:pPr>
        <w:pStyle w:val="BodyText"/>
      </w:pPr>
      <w:r>
        <w:t xml:space="preserve">Senior Sustainability Consultant: oqrroktksz</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this analysis represents an estimation of the product\'s carbon footprint.</w:t>
      </w:r>
    </w:p>
    <w:bookmarkEnd w:id="20"/>
    <w:bookmarkStart w:id="21" w:name="X1229172e4ace22076eda2144646da6766a84fbb"/>
    <w:p>
      <w:pPr>
        <w:pStyle w:val="Heading1"/>
      </w:pPr>
      <w:r>
        <w:t xml:space="preserve">Product Carbon Footprint Analysis Report for ogjgxzvreg</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oqrroktksz</w:t>
      </w:r>
    </w:p>
    <w:p>
      <w:pPr>
        <w:pStyle w:val="BodyText"/>
      </w:pPr>
      <w:r>
        <w:rPr>
          <w:bCs/>
          <w:b/>
        </w:rPr>
        <w:t xml:space="preserve">Company:</w:t>
      </w:r>
      <w:r>
        <w:t xml:space="preserve"> </w:t>
      </w:r>
      <w:r>
        <w:t xml:space="preserve">qekwlqlhny</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ogjgxzvreg, manufactured by qekwlqlhny. The assessment was conducted by oqrroktksz, a Senior Sustainability Consultant specializing in GHG Protocol. The analysis adheres strictly to the GHG Protocol accounting standard, incorporating the 2026 Land Sector and Removals (LSR) Standard and ensuring at least 95% coverage for Scope 3 emissions. The goal is to quantify the greenhouse gas emissions across the product\'s lifecycle, from material acquisition to end-of-life, identify emission hotspots, and provide actionable insights for sustainability improvements.</w:t>
      </w:r>
    </w:p>
    <w:p>
      <w:r>
        <w:pict>
          <v:rect style="width:0;height:1.5pt" o:hralign="center" o:hrstd="t" o:hr="t"/>
        </w:pict>
      </w:r>
    </w:p>
    <w:bookmarkEnd w:id="22"/>
    <w:bookmarkStart w:id="28" w:name="methodology"/>
    <w:p>
      <w:pPr>
        <w:pStyle w:val="Heading2"/>
      </w:pPr>
      <w:r>
        <w:t xml:space="preserve">Methodology</w:t>
      </w:r>
    </w:p>
    <w:p>
      <w:pPr>
        <w:pStyle w:val="FirstParagraph"/>
      </w:pPr>
      <w:r>
        <w:t xml:space="preserve">The Product Carbon Footprint (PCF) analysis for ogjgxzvreg follows a five-step methodology in accordance with the GHG Protocol Product Standard:</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system boundaries, geographic scope, and allocation methods were clearly defined to ensure a consistent and comparable assessment.</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All relevant lifecycle stages of the product, from raw material extraction to end-of-life, were mapped to identify all inputs and outputs.</w:t>
      </w:r>
    </w:p>
    <w:p>
      <w:pPr>
        <w:numPr>
          <w:ilvl w:val="0"/>
          <w:numId w:val="1001"/>
        </w:numPr>
        <w:pStyle w:val="Heading3"/>
      </w:pPr>
      <w:bookmarkStart w:id="25" w:name="collect-data"/>
      <w:r>
        <w:t xml:space="preserve">Collect Data</w:t>
      </w:r>
      <w:bookmarkEnd w:id="25"/>
    </w:p>
    <w:p>
      <w:pPr>
        <w:numPr>
          <w:ilvl w:val="0"/>
          <w:numId w:val="1000"/>
        </w:numPr>
      </w:pPr>
      <w:r>
        <w:t xml:space="preserve">Both primary data (e.g., specific energy consumption, Bill of Materials) and secondary data (e.g., industry-average emission factors) were collected and utilized for calculations.</w:t>
      </w:r>
    </w:p>
    <w:p>
      <w:pPr>
        <w:numPr>
          <w:ilvl w:val="0"/>
          <w:numId w:val="1001"/>
        </w:numPr>
        <w:pStyle w:val="Heading3"/>
      </w:pPr>
      <w:bookmarkStart w:id="26" w:name="calculate-emissions"/>
      <w:r>
        <w:t xml:space="preserve">Calculate Emissions</w:t>
      </w:r>
      <w:bookmarkEnd w:id="26"/>
    </w:p>
    <w:p>
      <w:pPr>
        <w:numPr>
          <w:ilvl w:val="0"/>
          <w:numId w:val="1000"/>
        </w:numPr>
      </w:pPr>
      <w:r>
        <w:t xml:space="preserve">Emissions were calculated by multiplying activity data (e.g., material quantity, energy consumption, transport distance) by appropriate emission factors, resulting in CO2e values.</w:t>
      </w:r>
    </w:p>
    <w:p>
      <w:pPr>
        <w:numPr>
          <w:ilvl w:val="0"/>
          <w:numId w:val="1001"/>
        </w:numPr>
        <w:pStyle w:val="Heading3"/>
      </w:pPr>
      <w:bookmarkStart w:id="27" w:name="review-report"/>
      <w:r>
        <w:t xml:space="preserve">Review &amp; Report</w:t>
      </w:r>
      <w:bookmarkEnd w:id="27"/>
    </w:p>
    <w:p>
      <w:pPr>
        <w:numPr>
          <w:ilvl w:val="0"/>
          <w:numId w:val="1000"/>
        </w:numPr>
      </w:pPr>
      <w:r>
        <w:t xml:space="preserve">The results were reviewed for accuracy and reliability, identifying emission hotspots and providing recommendations for reduction.</w:t>
      </w:r>
    </w:p>
    <w:p>
      <w:r>
        <w:pict>
          <v:rect style="width:0;height:1.5pt" o:hralign="center" o:hrstd="t" o:hr="t"/>
        </w:pict>
      </w:r>
    </w:p>
    <w:bookmarkEnd w:id="28"/>
    <w:bookmarkStart w:id="31" w:name="ghg-protocol-adherence"/>
    <w:p>
      <w:pPr>
        <w:pStyle w:val="Heading2"/>
      </w:pPr>
      <w:r>
        <w:t xml:space="preserve">GHG Protocol Adherence</w:t>
      </w:r>
    </w:p>
    <w:p>
      <w:pPr>
        <w:pStyle w:val="FirstParagraph"/>
      </w:pPr>
      <w:r>
        <w:t xml:space="preserve">This analysis strictly adheres to the GHG Protocol accounting standard, categorizing emissions across the value chain to ensure comprehensive reporting.</w:t>
      </w:r>
    </w:p>
    <w:p>
      <w:pPr>
        <w:numPr>
          <w:ilvl w:val="0"/>
          <w:numId w:val="1002"/>
        </w:numPr>
        <w:pStyle w:val="Compact"/>
      </w:pPr>
      <w:r>
        <w:rPr>
          <w:bCs/>
          <w:b/>
        </w:rPr>
        <w:t xml:space="preserve">Scope 1 (Direct Emissions):</w:t>
      </w:r>
      <w:r>
        <w:t xml:space="preserve"> </w:t>
      </w:r>
      <w:r>
        <w:t xml:space="preserve">Direct GHG emissions from sources owned or controlled by qekwlqlhny (e.g., from on-site manufacturing processes not powered by purchased electricity).</w:t>
      </w:r>
    </w:p>
    <w:p>
      <w:pPr>
        <w:numPr>
          <w:ilvl w:val="0"/>
          <w:numId w:val="1002"/>
        </w:numPr>
        <w:pStyle w:val="Compact"/>
      </w:pPr>
      <w:r>
        <w:rPr>
          <w:bCs/>
          <w:b/>
        </w:rPr>
        <w:t xml:space="preserve">Scope 2 (Energy Indirect Emissions):</w:t>
      </w:r>
      <w:r>
        <w:t xml:space="preserve"> </w:t>
      </w:r>
      <w:r>
        <w:t xml:space="preserve">Indirect GHG emissions from the generation of purchased or acquired electricity, steam, heat, or cooling consumed by qekwlqlhny.</w:t>
      </w:r>
    </w:p>
    <w:p>
      <w:pPr>
        <w:numPr>
          <w:ilvl w:val="0"/>
          <w:numId w:val="1002"/>
        </w:numPr>
        <w:pStyle w:val="Compact"/>
      </w:pPr>
      <w:r>
        <w:rPr>
          <w:bCs/>
          <w:b/>
        </w:rPr>
        <w:t xml:space="preserve">Scope 3 (Other Indirect Emissions - Value Chain):</w:t>
      </w:r>
      <w:r>
        <w:t xml:space="preserve"> </w:t>
      </w:r>
      <w:r>
        <w:t xml:space="preserve">All other indirect GHG emissions that occur in the value chain of the reporting company, both upstream and downstream. This includes emissions from purchased goods and services (materials), transportation, product use, and end-of-life treatment.</w:t>
      </w:r>
    </w:p>
    <w:bookmarkStart w:id="29" w:name="lsr-update-land-sector-and-removals"/>
    <w:p>
      <w:pPr>
        <w:pStyle w:val="Heading3"/>
      </w:pPr>
      <w:r>
        <w:t xml:space="preserve">2026 LSR Update (Land Sector and Removals)</w:t>
      </w:r>
    </w:p>
    <w:p>
      <w:pPr>
        <w:pStyle w:val="FirstParagraph"/>
      </w:pPr>
      <w:r>
        <w:t xml:space="preserve">In accordance with the 2026 Land Sector and Removals (LSR) Standard, the report considers land use change and carbon removal activities relevant to the product\'s lifecycle. While specific land use data for each component of ogjgxzvreg was not provided, the methodology acknowledges the importance of these aspects, and if primary data were available, they would be integrated into the Scope 3 calculations.</w:t>
      </w:r>
    </w:p>
    <w:bookmarkEnd w:id="29"/>
    <w:bookmarkStart w:id="30" w:name="scope-3-compliance"/>
    <w:p>
      <w:pPr>
        <w:pStyle w:val="Heading3"/>
      </w:pPr>
      <w:r>
        <w:t xml:space="preserve">Scope 3 Compliance</w:t>
      </w:r>
    </w:p>
    <w:p>
      <w:pPr>
        <w:pStyle w:val="FirstParagraph"/>
      </w:pPr>
      <w:r>
        <w:t xml:space="preserve">Ensuring robust Scope 3 reporting, this analysis aims for at least 95% coverage for Scope 3 emissions, as per 2026 requirements, by meticulously analyzing all significant upstream and downstream activities associated with ogjgxzvreg.</w:t>
      </w:r>
    </w:p>
    <w:p>
      <w:r>
        <w:pict>
          <v:rect style="width:0;height:1.5pt" o:hralign="center" o:hrstd="t" o:hr="t"/>
        </w:pict>
      </w:r>
    </w:p>
    <w:bookmarkEnd w:id="30"/>
    <w:bookmarkEnd w:id="31"/>
    <w:bookmarkStart w:id="49" w:name="X9117b64d54bac08ab50ea1beefdfc09e54bdc8d"/>
    <w:p>
      <w:pPr>
        <w:pStyle w:val="Heading2"/>
      </w:pPr>
      <w:r>
        <w:t xml:space="preserve">Detailed Product Carbon Footprint (PCF) Analysis for ogjgxzvreg</w:t>
      </w:r>
    </w:p>
    <w:bookmarkStart w:id="32" w:name="defining-scope"/>
    <w:p>
      <w:pPr>
        <w:pStyle w:val="Heading3"/>
      </w:pPr>
      <w:r>
        <w:t xml:space="preserve">1. Defining Scope</w:t>
      </w:r>
    </w:p>
    <w:p>
      <w:pPr>
        <w:numPr>
          <w:ilvl w:val="0"/>
          <w:numId w:val="1003"/>
        </w:numPr>
        <w:pStyle w:val="Compact"/>
      </w:pPr>
      <w:r>
        <w:rPr>
          <w:bCs/>
          <w:b/>
        </w:rPr>
        <w:t xml:space="preserve">Functional Unit:</w:t>
      </w:r>
      <w:r>
        <w:t xml:space="preserve"> </w:t>
      </w:r>
      <w:r>
        <w:t xml:space="preserve">1.0 unit of ogjgxzvreg.</w:t>
      </w:r>
    </w:p>
    <w:p>
      <w:pPr>
        <w:numPr>
          <w:ilvl w:val="0"/>
          <w:numId w:val="1003"/>
        </w:numPr>
        <w:pStyle w:val="Compact"/>
      </w:pPr>
      <w:r>
        <w:rPr>
          <w:bCs/>
          <w:b/>
        </w:rPr>
        <w:t xml:space="preserve">System Boundary:</w:t>
      </w:r>
      <w:r>
        <w:t xml:space="preserve"> </w:t>
      </w:r>
      <w:r>
        <w:t xml:space="preserve">factory_gate - This cradle-to-gate boundary primarily focuses on the emissions up to the point the product leaves the manufacturing facility. However, for a comprehensive PCF, significant downstream impacts (use and end-of-life) are also included as per user parameters.</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production energy factors for China and transport routes/emission factors relevant to European supply chains are considered.</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Where co-products or by-products exist, emissions are allocated based on physical parameters (e.g., mass) or economic value, depending on data availability and relevance, to ensure a fair representation of ogjgxzvreg\'s share of environmental impact.</w:t>
      </w:r>
    </w:p>
    <w:bookmarkEnd w:id="32"/>
    <w:bookmarkStart w:id="39" w:name="mapping-lifecycle-3.-collecting-data"/>
    <w:p>
      <w:pPr>
        <w:pStyle w:val="Heading3"/>
      </w:pPr>
      <w:r>
        <w:t xml:space="preserve">2. Mapping Lifecycle &amp; 3. Collecting Data</w:t>
      </w:r>
    </w:p>
    <w:p>
      <w:pPr>
        <w:pStyle w:val="FirstParagraph"/>
      </w:pPr>
      <w:r>
        <w:t xml:space="preserve">This section details the inputs and outputs across the lifecycle of ogjgxzvreg, leveraging specific data provided.</w:t>
      </w:r>
    </w:p>
    <w:bookmarkStart w:id="34" w:name="X1428ec1d1885feb992205144a5c6ed055eb01cb"/>
    <w:p>
      <w:pPr>
        <w:pStyle w:val="Heading4"/>
      </w:pPr>
      <w:r>
        <w:t xml:space="preserve">Material Inputs (Detailed Bill of Materials - BOM)</w:t>
      </w:r>
    </w:p>
    <w:p>
      <w:pPr>
        <w:pStyle w:val="FirstParagraph"/>
      </w:pPr>
      <w:r>
        <w:t xml:space="preserve">The following Bill of Materials (BOM) for tidnihnz was used to calculate the material-related upstream (Scope 3) emissions. The \'Total Carbon\' value for each item is directly used for high-accuracy material impact calculation, as specified in the provided data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Total Material Emissions (Upstream Scope 3):</w:t>
      </w:r>
      <w:r>
        <w:t xml:space="preserve"> </w:t>
      </w:r>
      <w:bookmarkStart w:id="33" w:name="totalMaterialEmissions"/>
      <w:bookmarkEnd w:id="33"/>
      <w:r>
        <w:t xml:space="preserve"> </w:t>
      </w:r>
      <w:r>
        <w:t xml:space="preserve">kg CO2e</w:t>
      </w:r>
    </w:p>
    <w:bookmarkEnd w:id="34"/>
    <w:bookmarkStart w:id="35" w:name="energy-inputs-for-production"/>
    <w:p>
      <w:pPr>
        <w:pStyle w:val="Heading4"/>
      </w:pPr>
      <w:r>
        <w:t xml:space="preserve">Energy Inputs for Production</w:t>
      </w:r>
    </w:p>
    <w:p>
      <w:pPr>
        <w:numPr>
          <w:ilvl w:val="0"/>
          <w:numId w:val="1004"/>
        </w:numPr>
        <w:pStyle w:val="Compact"/>
      </w:pPr>
      <w:r>
        <w:rPr>
          <w:bCs/>
          <w:b/>
        </w:rPr>
        <w:t xml:space="preserve">Energy Intensity (kWh/unit):</w:t>
      </w:r>
      <w:r>
        <w:t xml:space="preserve"> </w:t>
      </w:r>
      <w:r>
        <w:t xml:space="preserve">zxqezyqwmr (e.g., 10 kWh/unit)</w:t>
      </w:r>
    </w:p>
    <w:p>
      <w:pPr>
        <w:numPr>
          <w:ilvl w:val="0"/>
          <w:numId w:val="1004"/>
        </w:numPr>
        <w:pStyle w:val="Compact"/>
      </w:pPr>
      <w:r>
        <w:rPr>
          <w:bCs/>
          <w:b/>
        </w:rPr>
        <w:t xml:space="preserve">Renewable Energy Usage:</w:t>
      </w:r>
      <w:r>
        <w:t xml:space="preserve"> </w:t>
      </w:r>
      <w:r>
        <w:t xml:space="preserve">vjjvrqeumm (e.g., 60%) - This percentage of energy consumption is considered carbon-neutral for the portion it covers.</w:t>
      </w:r>
    </w:p>
    <w:bookmarkEnd w:id="35"/>
    <w:bookmarkStart w:id="36" w:name="logistics-data-supply-chain"/>
    <w:p>
      <w:pPr>
        <w:pStyle w:val="Heading4"/>
      </w:pPr>
      <w:r>
        <w:t xml:space="preserve">Logistics Data (Supply Chain)</w:t>
      </w:r>
    </w:p>
    <w:p>
      <w:pPr>
        <w:numPr>
          <w:ilvl w:val="0"/>
          <w:numId w:val="1005"/>
        </w:numPr>
        <w:pStyle w:val="Compact"/>
      </w:pPr>
      <w:r>
        <w:rPr>
          <w:bCs/>
          <w:b/>
        </w:rPr>
        <w:t xml:space="preserve">Transport Mode (Upstream/Midstream):</w:t>
      </w:r>
      <w:r>
        <w:t xml:space="preserve"> </w:t>
      </w:r>
      <w:r>
        <w:t xml:space="preserve">Select Mode (e.g., Road Freight (Heavy Goods Vehicle))</w:t>
      </w:r>
    </w:p>
    <w:p>
      <w:pPr>
        <w:numPr>
          <w:ilvl w:val="0"/>
          <w:numId w:val="1005"/>
        </w:numPr>
        <w:pStyle w:val="Compact"/>
      </w:pPr>
      <w:r>
        <w:rPr>
          <w:bCs/>
          <w:b/>
        </w:rPr>
        <w:t xml:space="preserve">Transport Distance (Total):</w:t>
      </w:r>
      <w:r>
        <w:t xml:space="preserve"> </w:t>
      </w:r>
      <w:r>
        <w:t xml:space="preserve">kextloijfr (e.g., 500 km)</w:t>
      </w:r>
    </w:p>
    <w:p>
      <w:pPr>
        <w:numPr>
          <w:ilvl w:val="0"/>
          <w:numId w:val="1005"/>
        </w:numPr>
        <w:pStyle w:val="Compact"/>
      </w:pPr>
      <w:r>
        <w:rPr>
          <w:bCs/>
          <w:b/>
        </w:rPr>
        <w:t xml:space="preserve">Last-Mile Delivery Channel:</w:t>
      </w:r>
      <w:r>
        <w:t xml:space="preserve"> </w:t>
      </w:r>
      <w:r>
        <w:t xml:space="preserve">Delivery Type (e.g., Parcel Post)</w:t>
      </w:r>
    </w:p>
    <w:bookmarkEnd w:id="36"/>
    <w:bookmarkStart w:id="37"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ulxdtwfhwx (e.g., 5 years)</w:t>
      </w:r>
    </w:p>
    <w:p>
      <w:pPr>
        <w:numPr>
          <w:ilvl w:val="0"/>
          <w:numId w:val="1006"/>
        </w:numPr>
        <w:pStyle w:val="Compact"/>
      </w:pPr>
      <w:r>
        <w:rPr>
          <w:bCs/>
          <w:b/>
        </w:rPr>
        <w:t xml:space="preserve">Energy Consumption in Use:</w:t>
      </w:r>
      <w:r>
        <w:t xml:space="preserve"> </w:t>
      </w:r>
      <w:r>
        <w:t xml:space="preserve">ymojhyyyjr (e.g., 20 kWh/year)</w:t>
      </w:r>
    </w:p>
    <w:bookmarkEnd w:id="37"/>
    <w:bookmarkStart w:id="3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ommpzfeqqo (e.g., 85%)</w:t>
      </w:r>
    </w:p>
    <w:p>
      <w:pPr>
        <w:numPr>
          <w:ilvl w:val="0"/>
          <w:numId w:val="1007"/>
        </w:numPr>
        <w:pStyle w:val="Compact"/>
      </w:pPr>
      <w:r>
        <w:rPr>
          <w:bCs/>
          <w:b/>
        </w:rPr>
        <w:t xml:space="preserve">Circular/Take-back Programs:</w:t>
      </w:r>
      <w:r>
        <w:t xml:space="preserve"> </w:t>
      </w:r>
      <w:r>
        <w:t xml:space="preserve">oqnmkvsnhq (e.g., Product take-back scheme in place for end-of-life products.)</w:t>
      </w:r>
    </w:p>
    <w:bookmarkEnd w:id="38"/>
    <w:bookmarkEnd w:id="39"/>
    <w:bookmarkStart w:id="43" w:name="X3720d7d0541b3a6e3c473bd4daa188ddb828856"/>
    <w:p>
      <w:pPr>
        <w:pStyle w:val="Heading3"/>
      </w:pPr>
      <w:r>
        <w:t xml:space="preserve">4. Calculating Emissions (Activity * Emission Factor = CO2e)</w:t>
      </w:r>
    </w:p>
    <w:p>
      <w:pPr>
        <w:pStyle w:val="FirstParagraph"/>
      </w:pPr>
      <w:r>
        <w:t xml:space="preserve">This section details the emission calculations across the product\'s lifecycle, categorized by GHG Protocol Scopes. Illustrative industry-standard emission factors are used where specific factors were not provided for the parameterized values.</w:t>
      </w:r>
    </w:p>
    <w:bookmarkStart w:id="40" w:name="X6cc0ef7f757f9724b72c467399bf77099e12842"/>
    <w:p>
      <w:pPr>
        <w:pStyle w:val="Heading4"/>
      </w:pPr>
      <w:r>
        <w:t xml:space="preserve">Scope 3: Upstream Emissions (Materials &amp; Transport to Factory Gate)</w:t>
      </w:r>
    </w:p>
    <w:p>
      <w:pPr>
        <w:numPr>
          <w:ilvl w:val="0"/>
          <w:numId w:val="1008"/>
        </w:numPr>
      </w:pPr>
      <w:r>
        <w:rPr>
          <w:bCs/>
          <w:b/>
        </w:rPr>
        <w:t xml:space="preserve">Materials (Purchased Goods and Services):</w:t>
      </w:r>
    </w:p>
    <w:p>
      <w:pPr>
        <w:numPr>
          <w:ilvl w:val="0"/>
          <w:numId w:val="1000"/>
        </w:numPr>
      </w:pPr>
      <w:r>
        <w:t xml:space="preserve">Based on the provided Detailed Bill of Materials (tidnihnz), the total carbon impact from raw materials and their processing is calculated by summing the \'Total Carbon\' for each item.</w:t>
      </w:r>
    </w:p>
    <w:p>
      <w:pPr>
        <w:numPr>
          <w:ilvl w:val="0"/>
          <w:numId w:val="1000"/>
        </w:numPr>
      </w:pPr>
      <w:r>
        <w:t xml:space="preserve">Material Impact (kg CO2e) = Sum of \'Total Carbon\' from BOM.</w:t>
      </w:r>
      <w:r>
        <w:br/>
      </w:r>
      <w:r>
        <w:rPr>
          <w:iCs/>
          <w:i/>
        </w:rPr>
        <w:t xml:space="preserve">(Illustrative Calculation: 1.25 + 0.60 + 1.50 + 0.20 = 3.55 kg CO2e)</w:t>
      </w:r>
    </w:p>
    <w:p>
      <w:pPr>
        <w:numPr>
          <w:ilvl w:val="0"/>
          <w:numId w:val="1000"/>
        </w:numPr>
      </w:pPr>
      <w:r>
        <w:rPr>
          <w:bCs/>
          <w:b/>
        </w:rPr>
        <w:t xml:space="preserve">Estimated Material Emissions:</w:t>
      </w:r>
      <w:r>
        <w:t xml:space="preserve"> </w:t>
      </w:r>
      <w:r>
        <w:t xml:space="preserve">3.55 kg CO2e</w:t>
      </w:r>
    </w:p>
    <w:p>
      <w:pPr>
        <w:numPr>
          <w:ilvl w:val="0"/>
          <w:numId w:val="1008"/>
        </w:numPr>
      </w:pPr>
      <w:r>
        <w:rPr>
          <w:bCs/>
          <w:b/>
        </w:rPr>
        <w:t xml:space="preserve">Upstream Transport (Raw Materials to Production Facility - China):</w:t>
      </w:r>
    </w:p>
    <w:p>
      <w:pPr>
        <w:numPr>
          <w:ilvl w:val="0"/>
          <w:numId w:val="1000"/>
        </w:numPr>
      </w:pPr>
      <w:r>
        <w:t xml:space="preserve">Assuming "Road Freight (HGV)" as the \'Select Mode\' and an average emission factor of 0.1 kg CO2e per tonne-km for road freight, a total product weight of approximately 0.85 kg (sum of Qty for \'kg\' units from BOM) for illustrative purposes, and a transport distance derived from kextloijfr (e.g., 500 km) for raw materials inbound to the China factory.</w:t>
      </w:r>
    </w:p>
    <w:p>
      <w:pPr>
        <w:numPr>
          <w:ilvl w:val="0"/>
          <w:numId w:val="1000"/>
        </w:numPr>
      </w:pPr>
      <w:r>
        <w:t xml:space="preserve">Transport Emissions (kg CO2e) = Product Weight (tonnes) * Distance (km) * Emission Factor (kg CO2e/tonne-km).</w:t>
      </w:r>
      <w:r>
        <w:br/>
      </w:r>
      <w:r>
        <w:rPr>
          <w:iCs/>
          <w:i/>
        </w:rPr>
        <w:t xml:space="preserve">(Illustrative Calculation: (0.85 kg / 1000) * 500 km * 0.1 kg CO2e/tonne-km = 0.0425 kg CO2e)</w:t>
      </w:r>
    </w:p>
    <w:p>
      <w:pPr>
        <w:numPr>
          <w:ilvl w:val="0"/>
          <w:numId w:val="1000"/>
        </w:numPr>
      </w:pPr>
      <w:r>
        <w:rPr>
          <w:bCs/>
          <w:b/>
        </w:rPr>
        <w:t xml:space="preserve">Estimated Upstream Transport Emissions:</w:t>
      </w:r>
      <w:r>
        <w:t xml:space="preserve"> </w:t>
      </w:r>
      <w:r>
        <w:t xml:space="preserve">0.04 kg CO2e</w:t>
      </w:r>
    </w:p>
    <w:bookmarkEnd w:id="40"/>
    <w:bookmarkStart w:id="41" w:name="Xcb824f624529f286e0db6e972505e7a9606d9c0"/>
    <w:p>
      <w:pPr>
        <w:pStyle w:val="Heading4"/>
      </w:pPr>
      <w:r>
        <w:t xml:space="preserve">Scope 1 &amp; 2: Production Emissions (Factory Gate)</w:t>
      </w:r>
    </w:p>
    <w:p>
      <w:pPr>
        <w:numPr>
          <w:ilvl w:val="0"/>
          <w:numId w:val="1009"/>
        </w:numPr>
      </w:pPr>
      <w:r>
        <w:rPr>
          <w:bCs/>
          <w:b/>
        </w:rPr>
        <w:t xml:space="preserve">Scope 2 (Purchased Electricity for Production):</w:t>
      </w:r>
    </w:p>
    <w:p>
      <w:pPr>
        <w:numPr>
          <w:ilvl w:val="0"/>
          <w:numId w:val="1000"/>
        </w:numPr>
      </w:pPr>
      <w:r>
        <w:t xml:space="preserve">Using the provided \'Energy Intensity\' (zxqezyqwmr, e.g., 10 kWh/unit) and \'Renewable Energy Usage\' (vjjvrqeumm, e.g., 60%), along with a generic grid emission factor for China (e.g., 0.6 kg CO2e/kWh).</w:t>
      </w:r>
    </w:p>
    <w:p>
      <w:pPr>
        <w:numPr>
          <w:ilvl w:val="0"/>
          <w:numId w:val="1000"/>
        </w:numPr>
      </w:pPr>
      <w:r>
        <w:t xml:space="preserve">Emissions (kg CO2e) = Energy Intensity (kWh/unit) * (1 - Renewable Energy Usage %) * Grid Emission Factor (kg CO2e/kWh).</w:t>
      </w:r>
      <w:r>
        <w:br/>
      </w:r>
      <w:r>
        <w:rPr>
          <w:iCs/>
          <w:i/>
        </w:rPr>
        <w:t xml:space="preserve">(Illustrative Calculation: 10 kWh/unit * (1 - 0.60) * 0.6 kg CO2e/kWh = 2.4 kg CO2e)</w:t>
      </w:r>
    </w:p>
    <w:p>
      <w:pPr>
        <w:numPr>
          <w:ilvl w:val="0"/>
          <w:numId w:val="1000"/>
        </w:numPr>
      </w:pPr>
      <w:r>
        <w:rPr>
          <w:bCs/>
          <w:b/>
        </w:rPr>
        <w:t xml:space="preserve">Estimated Production Electricity Emissions (Scope 2):</w:t>
      </w:r>
      <w:r>
        <w:t xml:space="preserve"> </w:t>
      </w:r>
      <w:r>
        <w:t xml:space="preserve">2.40 kg CO2e</w:t>
      </w:r>
    </w:p>
    <w:p>
      <w:pPr>
        <w:numPr>
          <w:ilvl w:val="0"/>
          <w:numId w:val="1009"/>
        </w:numPr>
      </w:pPr>
      <w:r>
        <w:rPr>
          <w:bCs/>
          <w:b/>
        </w:rPr>
        <w:t xml:space="preserve">Scope 1 (Direct Emissions from Production):</w:t>
      </w:r>
    </w:p>
    <w:p>
      <w:pPr>
        <w:numPr>
          <w:ilvl w:val="0"/>
          <w:numId w:val="1000"/>
        </w:numPr>
      </w:pPr>
      <w:r>
        <w:t xml:space="preserve">For a PCF at \'factory_gate\', significant Scope 1 emissions would typically include direct fuel combustion for process heat or chemical reactions. Without specific data for qekwlqlhny\'s direct process emissions, these are considered minimal or implicitly covered if the energy intensity accounts for total energy. For this report, specific Scope 1 emissions are assumed negligible and not separately quantified without further data.</w:t>
      </w:r>
    </w:p>
    <w:p>
      <w:pPr>
        <w:numPr>
          <w:ilvl w:val="0"/>
          <w:numId w:val="1000"/>
        </w:numPr>
      </w:pPr>
      <w:r>
        <w:rPr>
          <w:bCs/>
          <w:b/>
        </w:rPr>
        <w:t xml:space="preserve">Estimated Direct Production Emissions (Scope 1):</w:t>
      </w:r>
      <w:r>
        <w:t xml:space="preserve"> </w:t>
      </w:r>
      <w:r>
        <w:t xml:space="preserve">0.00 kg CO2e</w:t>
      </w:r>
    </w:p>
    <w:bookmarkEnd w:id="41"/>
    <w:bookmarkStart w:id="42" w:name="Xb74282aa8496e28b66bd9cf288eaed1fa792bbf"/>
    <w:p>
      <w:pPr>
        <w:pStyle w:val="Heading4"/>
      </w:pPr>
      <w:r>
        <w:t xml:space="preserve">Scope 3: Downstream Emissions (Transport, Use, and End-of-Life)</w:t>
      </w:r>
    </w:p>
    <w:p>
      <w:pPr>
        <w:numPr>
          <w:ilvl w:val="0"/>
          <w:numId w:val="1010"/>
        </w:numPr>
      </w:pPr>
      <w:r>
        <w:rPr>
          <w:bCs/>
          <w:b/>
        </w:rPr>
        <w:t xml:space="preserve">Downstream Transport (Factory to Customer - Last-Mile Delivery):</w:t>
      </w:r>
    </w:p>
    <w:p>
      <w:pPr>
        <w:numPr>
          <w:ilvl w:val="0"/>
          <w:numId w:val="1000"/>
        </w:numPr>
      </w:pPr>
      <w:r>
        <w:t xml:space="preserve">Using \'Last-Mile Delivery Channel\' (Delivery Type, e.g., Parcel Post) and assuming an average emission factor for parcel post of 0.5 kg CO2e per parcel for a typical delivery distance within Europe for a single unit.</w:t>
      </w:r>
    </w:p>
    <w:p>
      <w:pPr>
        <w:numPr>
          <w:ilvl w:val="0"/>
          <w:numId w:val="1000"/>
        </w:numPr>
      </w:pPr>
      <w:r>
        <w:t xml:space="preserve">Emissions (kg CO2e) = Number of units * Emission Factor (kg CO2e/unit).</w:t>
      </w:r>
      <w:r>
        <w:br/>
      </w:r>
      <w:r>
        <w:rPr>
          <w:iCs/>
          <w:i/>
        </w:rPr>
        <w:t xml:space="preserve">(Illustrative Calculation: 1 unit * 0.5 kg CO2e/unit = 0.5 kg CO2e)</w:t>
      </w:r>
    </w:p>
    <w:p>
      <w:pPr>
        <w:numPr>
          <w:ilvl w:val="0"/>
          <w:numId w:val="1000"/>
        </w:numPr>
      </w:pPr>
      <w:r>
        <w:rPr>
          <w:bCs/>
          <w:b/>
        </w:rPr>
        <w:t xml:space="preserve">Estimated Downstream Transport Emissions:</w:t>
      </w:r>
      <w:r>
        <w:t xml:space="preserve"> </w:t>
      </w:r>
      <w:r>
        <w:t xml:space="preserve">0.50 kg CO2e</w:t>
      </w:r>
    </w:p>
    <w:p>
      <w:pPr>
        <w:numPr>
          <w:ilvl w:val="0"/>
          <w:numId w:val="1010"/>
        </w:numPr>
      </w:pPr>
      <w:r>
        <w:rPr>
          <w:bCs/>
          <w:b/>
        </w:rPr>
        <w:t xml:space="preserve">Use Phase Emissions:</w:t>
      </w:r>
    </w:p>
    <w:p>
      <w:pPr>
        <w:numPr>
          <w:ilvl w:val="0"/>
          <w:numId w:val="1000"/>
        </w:numPr>
      </w:pPr>
      <w:r>
        <w:t xml:space="preserve">Based on \'Product Lifespan\' (ulxdtwfhwx, e.g., 5 years) and \'Energy Consumption in Use\' (ymojhyyyjr, e.g., 20 kWh/year). A generic electricity emission factor for end-user countries (e.g., EU average 0.3 kg CO2e/kWh) is used.</w:t>
      </w:r>
    </w:p>
    <w:p>
      <w:pPr>
        <w:numPr>
          <w:ilvl w:val="0"/>
          <w:numId w:val="1000"/>
        </w:numPr>
      </w:pPr>
      <w:r>
        <w:t xml:space="preserve">Emissions (kg CO2e) = Lifespan (years) * Energy Consumption per year (kWh/year) * Electricity Emission Factor (kg CO2e/kWh).</w:t>
      </w:r>
      <w:r>
        <w:br/>
      </w:r>
      <w:r>
        <w:rPr>
          <w:iCs/>
          <w:i/>
        </w:rPr>
        <w:t xml:space="preserve">(Illustrative Calculation: 5 years * 20 kWh/year * 0.3 kg CO2e/kWh = 30.0 kg CO2e)</w:t>
      </w:r>
    </w:p>
    <w:p>
      <w:pPr>
        <w:numPr>
          <w:ilvl w:val="0"/>
          <w:numId w:val="1000"/>
        </w:numPr>
      </w:pPr>
      <w:r>
        <w:rPr>
          <w:bCs/>
          <w:b/>
        </w:rPr>
        <w:t xml:space="preserve">Estimated Use Phase Emissions:</w:t>
      </w:r>
      <w:r>
        <w:t xml:space="preserve"> </w:t>
      </w:r>
      <w:r>
        <w:t xml:space="preserve">30.00 kg CO2e</w:t>
      </w:r>
    </w:p>
    <w:p>
      <w:pPr>
        <w:numPr>
          <w:ilvl w:val="0"/>
          <w:numId w:val="1010"/>
        </w:numPr>
      </w:pPr>
      <w:r>
        <w:rPr>
          <w:bCs/>
          <w:b/>
        </w:rPr>
        <w:t xml:space="preserve">End-of-Life (EoL) Emissions:</w:t>
      </w:r>
    </w:p>
    <w:p>
      <w:pPr>
        <w:numPr>
          <w:ilvl w:val="0"/>
          <w:numId w:val="1000"/>
        </w:numPr>
      </w:pPr>
      <w:r>
        <w:t xml:space="preserve">Considering \'Recyclability Percentage\' (ommpzfeqqo, e.g., 85%) and the existence of \'Circular/Take-back Programs\' (oqnmkvsnhq). Assuming a baseline EoL emission for disposal (e.g., incineration/landfill) of 1 kg CO2e per kg of product, and a credit for recycling (e.g., -0.5 kg CO2e per kg recycled). The illustrative total product weight is 0.85 kg.</w:t>
      </w:r>
    </w:p>
    <w:p>
      <w:pPr>
        <w:numPr>
          <w:ilvl w:val="0"/>
          <w:numId w:val="1000"/>
        </w:numPr>
      </w:pPr>
      <w:r>
        <w:t xml:space="preserve">Baseline Disposal (15%): 0.85 kg * (1 - 0.85) * 1 kg CO2e/kg = 0.1275 kg CO2e.</w:t>
      </w:r>
      <w:r>
        <w:br/>
      </w:r>
      <w:r>
        <w:t xml:space="preserve">Recycling Credit (85%): 0.85 kg * 0.85 * (-0.5) kg CO2e/kg = -0.36125 kg CO2e.</w:t>
      </w:r>
      <w:r>
        <w:br/>
      </w:r>
      <w:r>
        <w:t xml:space="preserve">Net EoL Emissions = 0.1275 - 0.36125 = -0.23375 kg CO2e.</w:t>
      </w:r>
    </w:p>
    <w:p>
      <w:pPr>
        <w:numPr>
          <w:ilvl w:val="0"/>
          <w:numId w:val="1000"/>
        </w:numPr>
      </w:pPr>
      <w:r>
        <w:t xml:space="preserve">The existence of take-back programs (oqnmkvsnhq: "Product take-back scheme in place for end-of-life products.") further enhances the circularity and can lead to reduced net EoL impact, as demonstrated by the carbon saving. Specific benefits of the take-back program would require detailed data on actual collection and recycling rates achieved.</w:t>
      </w:r>
    </w:p>
    <w:p>
      <w:pPr>
        <w:numPr>
          <w:ilvl w:val="0"/>
          <w:numId w:val="1000"/>
        </w:numPr>
      </w:pPr>
      <w:r>
        <w:rPr>
          <w:bCs/>
          <w:b/>
        </w:rPr>
        <w:t xml:space="preserve">Estimated End-of-Life Emissions:</w:t>
      </w:r>
      <w:r>
        <w:t xml:space="preserve"> </w:t>
      </w:r>
      <w:r>
        <w:t xml:space="preserve">-0.23 kg CO2e (carbon saving)</w:t>
      </w:r>
    </w:p>
    <w:bookmarkEnd w:id="42"/>
    <w:bookmarkEnd w:id="43"/>
    <w:bookmarkStart w:id="45" w:name="Xf64d3a6aaa05d57136cabc8089cbb99dd7ca1a4"/>
    <w:p>
      <w:pPr>
        <w:pStyle w:val="Heading3"/>
      </w:pPr>
      <w:r>
        <w:t xml:space="preserve">Summary of Emissions by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Estimated Emissions (kg CO2e)</w:t>
            </w:r>
          </w:p>
        </w:tc>
      </w:tr>
      <w:tr>
        <w:tc>
          <w:tcPr/>
          <w:p>
            <w:pPr>
              <w:pStyle w:val="Compact"/>
              <w:jc w:val="left"/>
            </w:pPr>
            <w:r>
              <w:t xml:space="preserve">Scope 1</w:t>
            </w:r>
          </w:p>
        </w:tc>
        <w:tc>
          <w:tcPr/>
          <w:p>
            <w:pPr>
              <w:pStyle w:val="Compact"/>
              <w:jc w:val="left"/>
            </w:pPr>
            <w:r>
              <w:t xml:space="preserve">Direct Production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2.40</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3.55</w:t>
            </w:r>
          </w:p>
        </w:tc>
      </w:tr>
      <w:tr>
        <w:tc>
          <w:tcPr>
            <w:gridSpan w:val="1"/>
            <w:vMerge w:val="continue"/>
          </w:tcPr>
          <w:p>
            <w:pPr/>
          </w:p>
        </w:tc>
        <w:tc>
          <w:tcPr/>
          <w:p>
            <w:pPr>
              <w:pStyle w:val="Compact"/>
              <w:jc w:val="left"/>
            </w:pPr>
            <w:r>
              <w:t xml:space="preserve">Upstream Transport</w:t>
            </w:r>
          </w:p>
        </w:tc>
        <w:tc>
          <w:tcPr/>
          <w:p>
            <w:pPr>
              <w:pStyle w:val="Compact"/>
              <w:jc w:val="left"/>
            </w:pPr>
            <w:r>
              <w:t xml:space="preserve">0.04</w:t>
            </w:r>
          </w:p>
        </w:tc>
      </w:tr>
      <w:tr>
        <w:tc>
          <w:tcPr>
            <w:gridSpan w:val="1"/>
            <w:vMerge w:val="continue"/>
          </w:tcPr>
          <w:p>
            <w:pPr/>
          </w:p>
        </w:tc>
        <w:tc>
          <w:tcPr/>
          <w:p>
            <w:pPr>
              <w:pStyle w:val="Compact"/>
              <w:jc w:val="left"/>
            </w:pPr>
            <w:r>
              <w:t xml:space="preserve">Downstream Transport (Last-Mile)</w:t>
            </w:r>
          </w:p>
        </w:tc>
        <w:tc>
          <w:tcPr/>
          <w:p>
            <w:pPr>
              <w:pStyle w:val="Compact"/>
              <w:jc w:val="left"/>
            </w:pPr>
            <w:r>
              <w:t xml:space="preserve">0.50</w:t>
            </w:r>
          </w:p>
        </w:tc>
      </w:tr>
      <w:tr>
        <w:tc>
          <w:tcPr>
            <w:gridSpan w:val="1"/>
            <w:vMerge w:val="continue"/>
          </w:tcPr>
          <w:p>
            <w:pPr/>
          </w:p>
        </w:tc>
        <w:tc>
          <w:tcPr/>
          <w:p>
            <w:pPr>
              <w:pStyle w:val="Compact"/>
              <w:jc w:val="left"/>
            </w:pPr>
            <w:r>
              <w:t xml:space="preserve">Product Use Phase</w:t>
            </w:r>
          </w:p>
        </w:tc>
        <w:tc>
          <w:tcPr/>
          <w:p>
            <w:pPr>
              <w:pStyle w:val="Compact"/>
              <w:jc w:val="left"/>
            </w:pPr>
            <w:r>
              <w:t xml:space="preserve">30.00</w:t>
            </w:r>
          </w:p>
        </w:tc>
      </w:tr>
      <w:tr>
        <w:tc>
          <w:tcPr/>
          <w:p>
            <w:pPr>
              <w:pStyle w:val="Compact"/>
              <w:jc w:val="left"/>
            </w:pPr>
            <w:r>
              <w:t xml:space="preserve">Scope 3 (EoL Credit)</w:t>
            </w:r>
          </w:p>
        </w:tc>
        <w:tc>
          <w:tcPr/>
          <w:p>
            <w:pPr>
              <w:pStyle w:val="Compact"/>
              <w:jc w:val="left"/>
            </w:pPr>
            <w:r>
              <w:t xml:space="preserve">End-of-Life</w:t>
            </w:r>
          </w:p>
        </w:tc>
        <w:tc>
          <w:tcPr/>
          <w:p>
            <w:pPr>
              <w:pStyle w:val="Compact"/>
              <w:jc w:val="left"/>
            </w:pPr>
            <w:r>
              <w:t xml:space="preserve">-0.23</w:t>
            </w:r>
          </w:p>
        </w:tc>
      </w:tr>
      <w:tr>
        <w:tc>
          <w:tcPr>
            <w:gridSpan w:val="2"/>
          </w:tcPr>
          <w:p>
            <w:pPr>
              <w:pStyle w:val="Compact"/>
              <w:jc w:val="left"/>
            </w:pPr>
            <w:r>
              <w:t xml:space="preserve">Total Product Carbon Footprint (Illustrative)</w:t>
            </w:r>
          </w:p>
        </w:tc>
        <w:tc>
          <w:tcPr/>
          <w:p>
            <w:pPr>
              <w:pStyle w:val="Compact"/>
              <w:jc w:val="left"/>
            </w:pPr>
            <w:bookmarkStart w:id="44" w:name="totalPCF"/>
            <w:bookmarkEnd w:id="44"/>
          </w:p>
        </w:tc>
      </w:tr>
    </w:tbl>
    <w:bookmarkEnd w:id="45"/>
    <w:bookmarkStart w:id="48" w:name="review-report-1"/>
    <w:p>
      <w:pPr>
        <w:pStyle w:val="Heading3"/>
      </w:pPr>
      <w:r>
        <w:t xml:space="preserve">5. Review &amp; Report</w:t>
      </w:r>
    </w:p>
    <w:bookmarkStart w:id="46" w:name="emission-hotspots"/>
    <w:p>
      <w:pPr>
        <w:pStyle w:val="Heading4"/>
      </w:pPr>
      <w:r>
        <w:t xml:space="preserve">Emission Hotspots</w:t>
      </w:r>
    </w:p>
    <w:p>
      <w:pPr>
        <w:numPr>
          <w:ilvl w:val="0"/>
          <w:numId w:val="1011"/>
        </w:numPr>
        <w:pStyle w:val="Compact"/>
      </w:pPr>
      <w:r>
        <w:t xml:space="preserve">The **Use Phase** (estimated 30.00 kg CO2e) is identified as the primary emission hotspot for ogjgxzvreg, largely driven by the product\'s energy consumption over its lifespan. This highlights a critical area for design and efficiency improvements.</w:t>
      </w:r>
    </w:p>
    <w:p>
      <w:pPr>
        <w:numPr>
          <w:ilvl w:val="0"/>
          <w:numId w:val="1011"/>
        </w:numPr>
        <w:pStyle w:val="Compact"/>
      </w:pPr>
      <w:r>
        <w:t xml:space="preserve">**Upstream Materials** (estimated 3.55 kg CO2e) and **Production Electricity** (estimated 2.40 kg CO2e) are also significant contributors, emphasizing the importance of sustainable material sourcing and renewable energy adoption in manufacturing.</w:t>
      </w:r>
    </w:p>
    <w:p>
      <w:pPr>
        <w:numPr>
          <w:ilvl w:val="0"/>
          <w:numId w:val="1011"/>
        </w:numPr>
        <w:pStyle w:val="Compact"/>
      </w:pPr>
      <w:r>
        <w:t xml:space="preserve">**End-of-Life** scenarios, with high recyclability (ommpzfeqqo: 85%) and circular programs (oqnmkvsnhq: Product take-back scheme in place), demonstrate a net carbon saving. This showcases the positive impact of circular economy initiatives in mitigating environmental impact.</w:t>
      </w:r>
    </w:p>
    <w:bookmarkEnd w:id="46"/>
    <w:bookmarkStart w:id="47" w:name="reliability-and-limitations"/>
    <w:p>
      <w:pPr>
        <w:pStyle w:val="Heading4"/>
      </w:pPr>
      <w:r>
        <w:t xml:space="preserve">Reliability and Limitations</w:t>
      </w:r>
    </w:p>
    <w:p>
      <w:pPr>
        <w:numPr>
          <w:ilvl w:val="0"/>
          <w:numId w:val="1012"/>
        </w:numPr>
        <w:pStyle w:val="Compact"/>
      </w:pPr>
      <w:r>
        <w:t xml:space="preserve">This report relies on a combination of specific primary data (BOM for tidnihnz, energy parameters zxqezyqwmr and vjjvrqeumm, lifespan ulxdtwfhwx, energy in use ymojhyyyjr, recyclability ommpzfeqqo) and illustrative industry-average emission factors for stages where primary data was not available or was provided as generic placeholders (e.g., \'Select Mode\' and \'Delivery Type\' for transport, and generic EoL factors).</w:t>
      </w:r>
    </w:p>
    <w:p>
      <w:pPr>
        <w:numPr>
          <w:ilvl w:val="0"/>
          <w:numId w:val="1012"/>
        </w:numPr>
        <w:pStyle w:val="Compact"/>
      </w:pPr>
      <w:r>
        <w:t xml:space="preserve">The accuracy of the results is dependent on the completeness and precision of the input data. Further primary data collection for specific transport modes, distances, and detailed user behavior would enhance accuracy.</w:t>
      </w:r>
    </w:p>
    <w:p>
      <w:pPr>
        <w:numPr>
          <w:ilvl w:val="0"/>
          <w:numId w:val="1012"/>
        </w:numPr>
        <w:pStyle w:val="Compact"/>
      </w:pPr>
      <w:r>
        <w:t xml:space="preserve">Illustrative emission factors were explicitly used for various stages (China grid, road freight, parcel delivery, use phase electricity, EoL) where specific factors were not provided. These ensure a complete calculation but also introduce a level of generalization.</w:t>
      </w:r>
    </w:p>
    <w:p>
      <w:r>
        <w:pict>
          <v:rect style="width:0;height:1.5pt" o:hralign="center" o:hrstd="t" o:hr="t"/>
        </w:pict>
      </w:r>
    </w:p>
    <w:bookmarkEnd w:id="47"/>
    <w:bookmarkEnd w:id="48"/>
    <w:bookmarkEnd w:id="49"/>
    <w:bookmarkStart w:id="50" w:name="recommendations-for-emission-reduction"/>
    <w:p>
      <w:pPr>
        <w:pStyle w:val="Heading2"/>
      </w:pPr>
      <w:r>
        <w:t xml:space="preserve">Recommendations for Emission Reduction</w:t>
      </w:r>
    </w:p>
    <w:p>
      <w:pPr>
        <w:numPr>
          <w:ilvl w:val="0"/>
          <w:numId w:val="1013"/>
        </w:numPr>
        <w:pStyle w:val="Compact"/>
      </w:pPr>
      <w:r>
        <w:rPr>
          <w:bCs/>
          <w:b/>
        </w:rPr>
        <w:t xml:space="preserve">Address Use Phase:</w:t>
      </w:r>
      <w:r>
        <w:t xml:space="preserve"> </w:t>
      </w:r>
      <w:r>
        <w:t xml:space="preserve">Focus on improving the energy efficiency of ogjgxzvreg. This could involve design changes to reduce operational energy consumption or exploring business models that promote renewable energy use by end-users.</w:t>
      </w:r>
    </w:p>
    <w:p>
      <w:pPr>
        <w:numPr>
          <w:ilvl w:val="0"/>
          <w:numId w:val="1013"/>
        </w:numPr>
        <w:pStyle w:val="Compact"/>
      </w:pPr>
      <w:r>
        <w:rPr>
          <w:bCs/>
          <w:b/>
        </w:rPr>
        <w:t xml:space="preserve">Enhance Production Sustainability:</w:t>
      </w:r>
      <w:r>
        <w:t xml:space="preserve"> </w:t>
      </w:r>
      <w:r>
        <w:t xml:space="preserve">Continue to increase the share of renewable energy sources for manufacturing operations beyond the current vjjvrqeumm (e.g., 60%). Explore options for on-site renewable energy generation or power purchase agreements (PPAs) for certified green electricity.</w:t>
      </w:r>
    </w:p>
    <w:p>
      <w:pPr>
        <w:numPr>
          <w:ilvl w:val="0"/>
          <w:numId w:val="1013"/>
        </w:numPr>
        <w:pStyle w:val="Compact"/>
      </w:pPr>
      <w:r>
        <w:rPr>
          <w:bCs/>
          <w:b/>
        </w:rPr>
        <w:t xml:space="preserve">Optimize Material Sourcing:</w:t>
      </w:r>
      <w:r>
        <w:t xml:space="preserve"> </w:t>
      </w:r>
      <w:r>
        <w:t xml:space="preserve">Investigate opportunities to use lower-carbon intensity materials or increase the recycled content in the tidnihnz BOM. Collaborate closely with suppliers to reduce their upstream emissions and explore innovative, low-impact materials.</w:t>
      </w:r>
    </w:p>
    <w:p>
      <w:pPr>
        <w:numPr>
          <w:ilvl w:val="0"/>
          <w:numId w:val="1013"/>
        </w:numPr>
        <w:pStyle w:val="Compact"/>
      </w:pPr>
      <w:r>
        <w:rPr>
          <w:bCs/>
          <w:b/>
        </w:rPr>
        <w:t xml:space="preserve">Strengthen Circularity:</w:t>
      </w:r>
      <w:r>
        <w:t xml:space="preserve"> </w:t>
      </w:r>
      <w:r>
        <w:t xml:space="preserve">Leverage and expand the existing oqnmkvsnhq (take-back programs) to maximize material recovery and recycling, potentially leading to greater carbon savings at end-of-life. Consider product-as-a-service models or extended producer responsibility initiatives.</w:t>
      </w:r>
    </w:p>
    <w:p>
      <w:pPr>
        <w:numPr>
          <w:ilvl w:val="0"/>
          <w:numId w:val="1013"/>
        </w:numPr>
        <w:pStyle w:val="Compact"/>
      </w:pPr>
      <w:r>
        <w:rPr>
          <w:bCs/>
          <w:b/>
        </w:rPr>
        <w:t xml:space="preserve">Supply Chain Engagement:</w:t>
      </w:r>
      <w:r>
        <w:t xml:space="preserve"> </w:t>
      </w:r>
      <w:r>
        <w:t xml:space="preserve">Engage proactively with logistics partners to explore lower-emission transport modes (e.g., rail, sea freight for longer distances), optimize routes, and improve load factors, particularly for European-focused supply chains.</w:t>
      </w:r>
    </w:p>
    <w:bookmarkEnd w:id="50"/>
    <w:p>
      <w:pPr>
        <w:pStyle w:val="FirstParagraph"/>
      </w:pPr>
      <w:r>
        <w:t xml:space="preserve">Confidential - Internal Use Only</w:t>
      </w:r>
    </w:p>
    <w:p>
      <w:pPr>
        <w:pStyle w:val="BodyText"/>
      </w:pPr>
      <w:r>
        <w:t xml:space="preserve">Page</w:t>
      </w:r>
      <w:r>
        <w:t xml:space="preserve"> </w:t>
      </w:r>
      <w:bookmarkStart w:id="51" w:name="pageNumber"/>
      <w:r>
        <w:t xml:space="preserve">1</w:t>
      </w:r>
      <w:bookmarkEnd w:id="51"/>
      <w:r>
        <w:t xml:space="preserve"> </w:t>
      </w:r>
      <w:r>
        <w:t xml:space="preserve">of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ogjgxzvreg</dc:title>
  <dc:creator/>
  <dc:description>Detailed Product Carbon Footprint (PCF) analysis report for ogjgxzvreg, performed by oqrroktksz for qekwlqlhny, adhering to GHG Protocol and 2026 LSR updates.</dc:description>
  <cp:keywords/>
  <dcterms:created xsi:type="dcterms:W3CDTF">2026-07-15T07:07:11Z</dcterms:created>
  <dcterms:modified xsi:type="dcterms:W3CDTF">2026-07-15T07:07:11Z</dcterms:modified>
</cp:coreProperties>
</file>

<file path=docProps/custom.xml><?xml version="1.0" encoding="utf-8"?>
<Properties xmlns="http://schemas.openxmlformats.org/officeDocument/2006/custom-properties" xmlns:vt="http://schemas.openxmlformats.org/officeDocument/2006/docPropsVTypes"/>
</file>