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nurzpjdzjj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nurzpjdzjj</w:t>
      </w:r>
    </w:p>
    <w:p>
      <w:pPr>
        <w:pStyle w:val="BodyText"/>
      </w:pPr>
      <w:r>
        <w:rPr>
          <w:bCs/>
          <w:b/>
        </w:rPr>
        <w:t xml:space="preserve">Company:</w:t>
      </w:r>
      <w:r>
        <w:t xml:space="preserve"> </w:t>
      </w:r>
      <w:r>
        <w:t xml:space="preserve">grgfqhzxmr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tdgitmzqmm</w:t>
      </w:r>
    </w:p>
    <w:p>
      <w:pPr>
        <w:pStyle w:val="BodyText"/>
      </w:pPr>
      <w:r>
        <w:t xml:space="preserve">This report is generated based on available data and industry standards. While every effort has been made to ensure accuracy, certain assumptions and estimated data points have been used where primary data was unavailable or provided as a placeholder.</w:t>
      </w:r>
    </w:p>
    <w:bookmarkEnd w:id="20"/>
    <w:bookmarkStart w:id="21" w:name="Xbd2cff09072d5358fa0f9274004e7f724294073"/>
    <w:p>
      <w:pPr>
        <w:pStyle w:val="Heading1"/>
      </w:pPr>
      <w:r>
        <w:t xml:space="preserve">Product Carbon Footprint Analysis Report: nurzpjdzjj</w:t>
      </w:r>
    </w:p>
    <w:p>
      <w:pPr>
        <w:pStyle w:val="FirstParagraph"/>
      </w:pPr>
      <w:r>
        <w:t xml:space="preserve">Generated Date: May 22,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nurzpjdzjj, manufactured by grgfqhzxmr. The analysis has been conducted by tdgitmzqmm, Senior Sustainability Consultant, strictly adhering to the Greenhouse Gas (GHG) Protocol\'s Product Standard and incorporating relevant updates, including the 2026 Land Sector and Removals (LSR) Standard. The assessment covers a “factory_gate” system boundary, focusing on upstream and core production emissions, with a geographic scope centered on China for final production and Europe for the supply chain. The primary objective is to quantify the greenhouse gas emissions associated with the product\'s lifecycle from material extraction through manufacturing, transport, use, and end-of-life, providing insights for emission reduction strategies.</w:t>
      </w:r>
    </w:p>
    <w:bookmarkEnd w:id="22"/>
    <w:bookmarkStart w:id="28" w:name="introduction"/>
    <w:p>
      <w:pPr>
        <w:pStyle w:val="Heading2"/>
      </w:pPr>
      <w:r>
        <w:t xml:space="preserve">1. Introduction</w:t>
      </w:r>
    </w:p>
    <w:bookmarkStart w:id="23" w:name="product-description"/>
    <w:p>
      <w:pPr>
        <w:pStyle w:val="Heading3"/>
      </w:pPr>
      <w:r>
        <w:t xml:space="preserve">1.1. Product Description</w:t>
      </w:r>
    </w:p>
    <w:p>
      <w:pPr>
        <w:pStyle w:val="FirstParagraph"/>
      </w:pPr>
      <w:r>
        <w:t xml:space="preserve">The product under analysis is nurzpjdzjj. This report details its carbon footprint across key lifecycle stages, providing a comprehensive assessment of its environmental impact in terms of greenhouse gas emissions.</w:t>
      </w:r>
    </w:p>
    <w:bookmarkEnd w:id="23"/>
    <w:bookmarkStart w:id="24" w:name="functional-unit"/>
    <w:p>
      <w:pPr>
        <w:pStyle w:val="Heading3"/>
      </w:pPr>
      <w:r>
        <w:t xml:space="preserve">1.2. Functional Unit</w:t>
      </w:r>
    </w:p>
    <w:p>
      <w:pPr>
        <w:pStyle w:val="FirstParagraph"/>
      </w:pPr>
      <w:r>
        <w:t xml:space="preserve">The functional unit for this Product Carbon Footprint (PCF) analysis is defined as</w:t>
      </w:r>
      <w:r>
        <w:t xml:space="preserve"> </w:t>
      </w:r>
      <w:r>
        <w:rPr>
          <w:bCs/>
          <w:b/>
        </w:rPr>
        <w:t xml:space="preserve">1.0 unit</w:t>
      </w:r>
      <w:r>
        <w:t xml:space="preserve"> </w:t>
      </w:r>
      <w:r>
        <w:t xml:space="preserve">of nurzpjdzjj. All emissions are calculated and expressed relative to this unit.</w:t>
      </w:r>
    </w:p>
    <w:bookmarkEnd w:id="24"/>
    <w:bookmarkStart w:id="25" w:name="system-boundary"/>
    <w:p>
      <w:pPr>
        <w:pStyle w:val="Heading3"/>
      </w:pPr>
      <w:r>
        <w:t xml:space="preserve">1.3. System Boundary</w:t>
      </w:r>
    </w:p>
    <w:p>
      <w:pPr>
        <w:pStyle w:val="FirstParagraph"/>
      </w:pPr>
      <w:r>
        <w:t xml:space="preserve">The system boundary for this analysis is designated as</w:t>
      </w:r>
      <w:r>
        <w:t xml:space="preserve"> </w:t>
      </w:r>
      <w:r>
        <w:rPr>
          <w:bCs/>
          <w:b/>
        </w:rPr>
        <w:t xml:space="preserve">factory_gate</w:t>
      </w:r>
      <w:r>
        <w:t xml:space="preserve">. This implies that the assessment includes all greenhouse gas emissions from the extraction of raw materials (cradle) up to the point where the finished product leaves the manufacturing facility (gate). This encompasses emissions from raw material acquisition, pre-processing, manufacturing, and internal logistics. While the primary boundary is factory_gate, key downstream impacts such as transportation to the customer, product use, and end-of-life scenarios are also considered for a more holistic view in line with GHG Protocol best practices, extending towards a cradle-to-grave perspective for Scope 3 completeness. A cradle-to-gate approach considers the production process including raw material extraction, manufacturing, inbound transportation, and packaging.</w:t>
      </w:r>
    </w:p>
    <w:bookmarkEnd w:id="25"/>
    <w:bookmarkStart w:id="26" w:name="geographic-scope"/>
    <w:p>
      <w:pPr>
        <w:pStyle w:val="Heading3"/>
      </w:pPr>
      <w:r>
        <w:t xml:space="preserve">1.4. Geographic Scope</w:t>
      </w:r>
    </w:p>
    <w:p>
      <w:pPr>
        <w:pStyle w:val="FirstParagraph"/>
      </w:pPr>
      <w:r>
        <w:t xml:space="preserve">The final production country for nurzpjdzjj is</w:t>
      </w:r>
      <w:r>
        <w:t xml:space="preserve"> </w:t>
      </w:r>
      <w:r>
        <w:rPr>
          <w:bCs/>
          <w:b/>
        </w:rPr>
        <w:t xml:space="preserve">China</w:t>
      </w:r>
      <w:r>
        <w:t xml:space="preserve">. The supply chain focus is predominantly</w:t>
      </w:r>
      <w:r>
        <w:t xml:space="preserve"> </w:t>
      </w:r>
      <w:r>
        <w:rPr>
          <w:bCs/>
          <w:b/>
        </w:rPr>
        <w:t xml:space="preserve">Europe Focused</w:t>
      </w:r>
      <w:r>
        <w:t xml:space="preserve">, indicating that significant upstream material sourcing and processing activities are concentrated within Europe before components are transported to China for final assembly.</w:t>
      </w:r>
    </w:p>
    <w:bookmarkEnd w:id="26"/>
    <w:bookmarkStart w:id="27" w:name="accounting-standard"/>
    <w:p>
      <w:pPr>
        <w:pStyle w:val="Heading3"/>
      </w:pPr>
      <w:r>
        <w:t xml:space="preserve">1.5. Accounting Standard</w:t>
      </w:r>
    </w:p>
    <w:p>
      <w:pPr>
        <w:pStyle w:val="FirstParagraph"/>
      </w:pPr>
      <w:r>
        <w:t xml:space="preserve">This Product Carbon Footprint analysis strictly adheres to the</w:t>
      </w:r>
      <w:r>
        <w:t xml:space="preserve"> </w:t>
      </w:r>
      <w:r>
        <w:rPr>
          <w:bCs/>
          <w:b/>
        </w:rPr>
        <w:t xml:space="preserve">GHG Protocol Corporate Accounting and Reporting Standard</w:t>
      </w:r>
      <w:r>
        <w:t xml:space="preserve">. The GHG Protocol provides requirements and guidance for companies to prepare an inventory of emissions.. Emissions are categorized into Scope 1, Scope 2, and Scope 3 to ensure comprehensive and transparent reporting of direct and indirect emissions across the value chain.</w:t>
      </w:r>
    </w:p>
    <w:bookmarkEnd w:id="27"/>
    <w:bookmarkEnd w:id="28"/>
    <w:bookmarkStart w:id="32" w:name="methodology"/>
    <w:p>
      <w:pPr>
        <w:pStyle w:val="Heading2"/>
      </w:pPr>
      <w:r>
        <w:t xml:space="preserve">2. Methodology</w:t>
      </w:r>
    </w:p>
    <w:p>
      <w:pPr>
        <w:pStyle w:val="FirstParagraph"/>
      </w:pPr>
      <w:r>
        <w:t xml:space="preserve">The methodology for this PCF analysis follows a five-step approach consistent with the GHG Protocol Product Standard and industry best practices:</w:t>
      </w:r>
    </w:p>
    <w:p>
      <w:pPr>
        <w:numPr>
          <w:ilvl w:val="0"/>
          <w:numId w:val="1001"/>
        </w:numPr>
        <w:pStyle w:val="Compact"/>
      </w:pPr>
      <w:r>
        <w:rPr>
          <w:bCs/>
          <w:b/>
        </w:rPr>
        <w:t xml:space="preserve">Define Scope:</w:t>
      </w:r>
      <w:r>
        <w:t xml:space="preserve"> </w:t>
      </w:r>
      <w:r>
        <w:t xml:space="preserve">Clearly 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detail all relevant life cycle inventory (LCI) stages, from raw material acquisition to end-of-life.</w:t>
      </w:r>
    </w:p>
    <w:p>
      <w:pPr>
        <w:numPr>
          <w:ilvl w:val="0"/>
          <w:numId w:val="1001"/>
        </w:numPr>
        <w:pStyle w:val="Compact"/>
      </w:pPr>
      <w:r>
        <w:rPr>
          <w:bCs/>
          <w:b/>
        </w:rPr>
        <w:t xml:space="preserve">Collect Data:</w:t>
      </w:r>
      <w:r>
        <w:t xml:space="preserve"> </w:t>
      </w:r>
      <w:r>
        <w:t xml:space="preserve">Gather both primary (company-specific) and secondary (industry average) data points for all identified LCI stages.</w:t>
      </w:r>
    </w:p>
    <w:p>
      <w:pPr>
        <w:numPr>
          <w:ilvl w:val="0"/>
          <w:numId w:val="1001"/>
        </w:numPr>
        <w:pStyle w:val="Compact"/>
      </w:pPr>
      <w:r>
        <w:rPr>
          <w:bCs/>
          <w:b/>
        </w:rPr>
        <w:t xml:space="preserve">Calculate Emissions:</w:t>
      </w:r>
      <w:r>
        <w:t xml:space="preserve"> </w:t>
      </w:r>
      <w:r>
        <w:t xml:space="preserve">Quantify emissions by multiplying activity data by appropriate emission factors to determine CO2e.</w:t>
      </w:r>
    </w:p>
    <w:p>
      <w:pPr>
        <w:numPr>
          <w:ilvl w:val="0"/>
          <w:numId w:val="1001"/>
        </w:numPr>
        <w:pStyle w:val="Compact"/>
      </w:pPr>
      <w:r>
        <w:rPr>
          <w:bCs/>
          <w:b/>
        </w:rPr>
        <w:t xml:space="preserve">Review &amp; Report:</w:t>
      </w:r>
      <w:r>
        <w:t xml:space="preserve"> </w:t>
      </w:r>
      <w:r>
        <w:t xml:space="preserve">Analyze the results to identify hotspots, assess data reliability, and present findings in a clear, actionable report.</w:t>
      </w:r>
    </w:p>
    <w:bookmarkStart w:id="29" w:name="ghg-protocol-emission-categorization"/>
    <w:p>
      <w:pPr>
        <w:pStyle w:val="Heading3"/>
      </w:pPr>
      <w:r>
        <w:t xml:space="preserve">2.1. GHG Protocol Emission Categorization</w:t>
      </w:r>
    </w:p>
    <w:p>
      <w:pPr>
        <w:pStyle w:val="FirstParagraph"/>
      </w:pPr>
      <w:r>
        <w:t xml:space="preserve">Emissions are categorized according to the GHG Protocol\'s three scopes to ensure comprehensive reporting:</w:t>
      </w:r>
    </w:p>
    <w:p>
      <w:pPr>
        <w:numPr>
          <w:ilvl w:val="0"/>
          <w:numId w:val="1002"/>
        </w:numPr>
        <w:pStyle w:val="Compact"/>
      </w:pPr>
      <w:r>
        <w:rPr>
          <w:bCs/>
          <w:b/>
        </w:rPr>
        <w:t xml:space="preserve">Scope 1 Emissions (Direct Emissions):</w:t>
      </w:r>
      <w:r>
        <w:t xml:space="preserve"> </w:t>
      </w:r>
      <w:r>
        <w:t xml:space="preserve">These are direct greenhouse gas emissions from sources that are owned or controlled by grgfqhzxmr. This includes emissions from fuel consumed by company assets like boilers or fleet vehicles, as well as on-site production process emissions. For this PCF, this would primarily relate to any direct emissions from the manufacturing process within the factory gate, such as combustion of fuels for on-site machinery not covered by purchased electricity.</w:t>
      </w:r>
    </w:p>
    <w:p>
      <w:pPr>
        <w:numPr>
          <w:ilvl w:val="0"/>
          <w:numId w:val="1002"/>
        </w:numPr>
        <w:pStyle w:val="Compact"/>
      </w:pPr>
      <w:r>
        <w:rPr>
          <w:bCs/>
          <w:b/>
        </w:rPr>
        <w:t xml:space="preserve">Scope 2 Emissions (Indirect Emissions from Purchased Energy):</w:t>
      </w:r>
      <w:r>
        <w:t xml:space="preserve"> </w:t>
      </w:r>
      <w:r>
        <w:t xml:space="preserve">These are indirect GHG emissions from the generation of purchased electricity, heat, steam, or cooling consumed by grgfqhzxmr. These emissions physically occur at the facility where energy is produced, but are a consequence of the reporting company\'s activities. For nurzpjdzjj, this specifically covers electricity consumption during the manufacturing phase.</w:t>
      </w:r>
    </w:p>
    <w:p>
      <w:pPr>
        <w:numPr>
          <w:ilvl w:val="0"/>
          <w:numId w:val="1002"/>
        </w:numPr>
        <w:pStyle w:val="Compact"/>
      </w:pPr>
      <w:r>
        <w:rPr>
          <w:bCs/>
          <w:b/>
        </w:rPr>
        <w:t xml:space="preserve">Scope 3 Emissions (Other Indirect Emissions):</w:t>
      </w:r>
      <w:r>
        <w:t xml:space="preserve"> </w:t>
      </w:r>
      <w:r>
        <w:t xml:space="preserve">These are all other indirect emissions that occur in the value chain of grgfqhzxmr, both upstream and downstream, that are not included in Scope 1 or Scope 2. For many companies, Scope 3 emissions comprise a large share of their overall supply chain emissions. This scope is broken down into 15 categories, covering aspects such as purchased goods and services (materials), upstream and downstream transportation and distribution, use of sold products, and end-of-life treatment of sold products. This PCF analysis captures significant Scope 3 categories to meet stringent reporting requirements.</w:t>
      </w:r>
    </w:p>
    <w:bookmarkEnd w:id="29"/>
    <w:bookmarkStart w:id="30" w:name="lsr-update"/>
    <w:p>
      <w:pPr>
        <w:pStyle w:val="Heading3"/>
      </w:pPr>
      <w:r>
        <w:t xml:space="preserve">2.2. 2026 LSR Update</w:t>
      </w:r>
    </w:p>
    <w:p>
      <w:pPr>
        <w:pStyle w:val="FirstParagraph"/>
      </w:pPr>
      <w:r>
        <w:t xml:space="preserve">In line with the 2026 Land Sector and Removals (LSR) Standard update, this analysis acknowledges the importance of integrating land use change and carbon removal activities. While specific land-use data for individual material inputs in the provided Bill of Materials (BOM) is not available, the methodology accounts for land-use impacts embedded within generic emission factors for raw materials where applicable. Any direct land use changes or carbon removal projects associated with grgfqhzxmr\'s operations would be explicitly accounted for, though none are provided as specific parameters for this product\'s PCF.</w:t>
      </w:r>
    </w:p>
    <w:bookmarkEnd w:id="30"/>
    <w:bookmarkStart w:id="31" w:name="scope-3-compliance"/>
    <w:p>
      <w:pPr>
        <w:pStyle w:val="Heading3"/>
      </w:pPr>
      <w:r>
        <w:t xml:space="preserve">2.3. Scope 3 Compliance</w:t>
      </w:r>
    </w:p>
    <w:p>
      <w:pPr>
        <w:pStyle w:val="FirstParagraph"/>
      </w:pPr>
      <w:r>
        <w:t xml:space="preserve">Ensuring at least 95% coverage for Scope 3 reporting is a critical requirement for 2026. This PCF analysis aims to achieve this by meticulously detailing all significant upstream (e.g., raw materials, inbound logistics) and downstream (e.g., outbound logistics, use phase, end-of-life) activities, even within a "factory_gate" primary boundary, to capture a comprehensive view of value chain emissions. The detailed Bill of Materials, transport, use phase, and end-of-life data are crucial for this comprehensive coverage.</w:t>
      </w:r>
    </w:p>
    <w:bookmarkEnd w:id="31"/>
    <w:bookmarkEnd w:id="32"/>
    <w:bookmarkStart w:id="38" w:name="X95f9e1977ba035130886477762c71b77b34d7f8"/>
    <w:p>
      <w:pPr>
        <w:pStyle w:val="Heading2"/>
      </w:pPr>
      <w:r>
        <w:t xml:space="preserve">3. Data Collection and Lifecycle Inventory (LCI)</w:t>
      </w:r>
    </w:p>
    <w:p>
      <w:pPr>
        <w:pStyle w:val="FirstParagraph"/>
      </w:pPr>
      <w:r>
        <w:t xml:space="preserve">The following sections detail the primary and secondary data collected and utilized for the nurzpjdzjj PCF analysis. Note: Placeholder values provided in the prompt have been replaced with illustrative dummy data for calculation purposes, as the actual data for \'iwejildz\', \'Select Mode\', etc., were provided as generic strings.</w:t>
      </w:r>
    </w:p>
    <w:bookmarkStart w:id="33" w:name="detailed-bill-of-materials-bom"/>
    <w:p>
      <w:pPr>
        <w:pStyle w:val="Heading3"/>
      </w:pPr>
      <w:r>
        <w:t xml:space="preserve">3.1. Detailed Bill of Materials (BOM)</w:t>
      </w:r>
    </w:p>
    <w:p>
      <w:pPr>
        <w:pStyle w:val="FirstParagraph"/>
      </w:pPr>
      <w:r>
        <w:t xml:space="preserve">The Bill of Materials (BOM) is a critical input for high-accuracy material impact calculation, replacing default estimates. The BOM data provided (represented by \'iwejildz\' in the parameters) follows the specified format. For this report, illustrative data has been generated to demonstrate the calculation, assuming \'iwejildz\' would contain similar structured information. The Emission Factor for each item, where provided in the BOM, is directly used for calculating Total Carbon. These emissions fall under Scope 3 (Purchased Goods and Services).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 (PP)</w:t>
            </w:r>
          </w:p>
        </w:tc>
        <w:tc>
          <w:tcPr/>
          <w:p>
            <w:pPr>
              <w:pStyle w:val="Compact"/>
              <w:jc w:val="left"/>
            </w:pPr>
            <w:r>
              <w:t xml:space="preserve">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 (Aluminium)</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12.00</w:t>
            </w:r>
          </w:p>
        </w:tc>
        <w:tc>
          <w:tcPr/>
          <w:p>
            <w:pPr>
              <w:pStyle w:val="Compact"/>
              <w:jc w:val="left"/>
            </w:pPr>
            <w:r>
              <w:t xml:space="preserve">2.40</w:t>
            </w:r>
          </w:p>
        </w:tc>
      </w:tr>
      <w:tr>
        <w:tc>
          <w:tcPr/>
          <w:p>
            <w:pPr>
              <w:pStyle w:val="Compact"/>
              <w:jc w:val="left"/>
            </w:pPr>
            <w:r>
              <w:t xml:space="preserve">M003</w:t>
            </w:r>
          </w:p>
        </w:tc>
        <w:tc>
          <w:tcPr/>
          <w:p>
            <w:pPr>
              <w:pStyle w:val="Compact"/>
              <w:jc w:val="left"/>
            </w:pPr>
            <w:r>
              <w:t xml:space="preserve">Electronic Chipset</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500.00</w:t>
            </w:r>
          </w:p>
        </w:tc>
        <w:tc>
          <w:tcPr/>
          <w:p>
            <w:pPr>
              <w:pStyle w:val="Compact"/>
              <w:jc w:val="left"/>
            </w:pPr>
            <w:r>
              <w:t xml:space="preserve">5.00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 (Cu)</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Recycled Paper Mfg.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0.10</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8.95 kg CO2e</w:t>
            </w:r>
          </w:p>
        </w:tc>
      </w:tr>
    </w:tbl>
    <w:bookmarkEnd w:id="33"/>
    <w:bookmarkStart w:id="34" w:name="energy-inputs-for-production-phase"/>
    <w:p>
      <w:pPr>
        <w:pStyle w:val="Heading3"/>
      </w:pPr>
      <w:r>
        <w:t xml:space="preserve">3.2. Energy Inputs for Production Phase</w:t>
      </w:r>
    </w:p>
    <w:p>
      <w:pPr>
        <w:pStyle w:val="FirstParagraph"/>
      </w:pPr>
      <w:r>
        <w:t xml:space="preserve">The production phase energy consumption is customized based on the provided parameters. These emissions are primarily categorized as Scope 2.</w:t>
      </w:r>
    </w:p>
    <w:p>
      <w:pPr>
        <w:numPr>
          <w:ilvl w:val="0"/>
          <w:numId w:val="1003"/>
        </w:numPr>
        <w:pStyle w:val="Compact"/>
      </w:pPr>
      <w:r>
        <w:rPr>
          <w:bCs/>
          <w:b/>
        </w:rPr>
        <w:t xml:space="preserve">Renewable Energy Usage:</w:t>
      </w:r>
      <w:r>
        <w:t xml:space="preserve"> </w:t>
      </w:r>
      <w:r>
        <w:t xml:space="preserve">75% (Illustrative for \'dwmqlwpusf\')</w:t>
      </w:r>
    </w:p>
    <w:p>
      <w:pPr>
        <w:numPr>
          <w:ilvl w:val="0"/>
          <w:numId w:val="1003"/>
        </w:numPr>
        <w:pStyle w:val="Compact"/>
      </w:pPr>
      <w:r>
        <w:rPr>
          <w:bCs/>
          <w:b/>
        </w:rPr>
        <w:t xml:space="preserve">Energy Intensity (kWh/unit):</w:t>
      </w:r>
      <w:r>
        <w:t xml:space="preserve"> </w:t>
      </w:r>
      <w:r>
        <w:t xml:space="preserve">5 kWh/unit (Illustrative for \'pogymiinxr\')</w:t>
      </w:r>
    </w:p>
    <w:p>
      <w:pPr>
        <w:pStyle w:val="FirstParagraph"/>
      </w:pPr>
      <w:r>
        <w:t xml:space="preserve">Assuming a grid emission factor for non-renewable electricity in China of approximately 0.65 kg CO2e/kWh (illustrative, based on common databases), and considering 75% renewable energy usage:</w:t>
      </w:r>
    </w:p>
    <w:p>
      <w:pPr>
        <w:pStyle w:val="BodyText"/>
      </w:pPr>
      <w:r>
        <w:t xml:space="preserve">Non-renewable energy: 5 kWh/unit * (1 - 0.75) = 1.25 kWh/unit</w:t>
      </w:r>
      <w:r>
        <w:br/>
      </w:r>
      <w:r>
        <w:t xml:space="preserve">Emissions from energy: 1.25 kWh/unit * 0.65 kg CO2e/kWh =</w:t>
      </w:r>
      <w:r>
        <w:t xml:space="preserve"> </w:t>
      </w:r>
      <w:r>
        <w:rPr>
          <w:bCs/>
          <w:b/>
        </w:rPr>
        <w:t xml:space="preserve">0.81 kg CO2e/unit</w:t>
      </w:r>
    </w:p>
    <w:bookmarkEnd w:id="34"/>
    <w:bookmarkStart w:id="35" w:name="X20ad0bdff5af28dbb6d57eeccd0a407efcac187"/>
    <w:p>
      <w:pPr>
        <w:pStyle w:val="Heading3"/>
      </w:pPr>
      <w:r>
        <w:t xml:space="preserve">3.3. Logistics Data (Scope 3 - Upstream &amp; Downstream Transportation)</w:t>
      </w:r>
    </w:p>
    <w:p>
      <w:pPr>
        <w:pStyle w:val="FirstParagraph"/>
      </w:pPr>
      <w:r>
        <w:t xml:space="preserve">Specific logistics data has been incorporated into the supply chain analysis.</w:t>
      </w:r>
    </w:p>
    <w:p>
      <w:pPr>
        <w:numPr>
          <w:ilvl w:val="0"/>
          <w:numId w:val="1004"/>
        </w:numPr>
        <w:pStyle w:val="Compact"/>
      </w:pPr>
      <w:r>
        <w:rPr>
          <w:bCs/>
          <w:b/>
        </w:rPr>
        <w:t xml:space="preserve">Transport Mode:</w:t>
      </w:r>
      <w:r>
        <w:t xml:space="preserve"> </w:t>
      </w:r>
      <w:r>
        <w:t xml:space="preserve">Road freight (Heavy Goods Vehicle - HGV) (Illustrative for \'Select Mode\')</w:t>
      </w:r>
    </w:p>
    <w:p>
      <w:pPr>
        <w:numPr>
          <w:ilvl w:val="0"/>
          <w:numId w:val="1004"/>
        </w:numPr>
        <w:pStyle w:val="Compact"/>
      </w:pPr>
      <w:r>
        <w:rPr>
          <w:bCs/>
          <w:b/>
        </w:rPr>
        <w:t xml:space="preserve">Transport Distance (Supply Chain, average):</w:t>
      </w:r>
      <w:r>
        <w:t xml:space="preserve"> </w:t>
      </w:r>
      <w:r>
        <w:t xml:space="preserve">1500 km (Illustrative for \'gfklsjxkqw\')</w:t>
      </w:r>
    </w:p>
    <w:p>
      <w:pPr>
        <w:numPr>
          <w:ilvl w:val="0"/>
          <w:numId w:val="1004"/>
        </w:numPr>
        <w:pStyle w:val="Compact"/>
      </w:pPr>
      <w:r>
        <w:rPr>
          <w:bCs/>
          <w:b/>
        </w:rPr>
        <w:t xml:space="preserve">Last-Mile Delivery Channel:</w:t>
      </w:r>
      <w:r>
        <w:t xml:space="preserve"> </w:t>
      </w:r>
      <w:r>
        <w:t xml:space="preserve">Standard Parcel Delivery (Road) (Illustrative for \'Delivery Type\')</w:t>
      </w:r>
    </w:p>
    <w:p>
      <w:pPr>
        <w:pStyle w:val="FirstParagraph"/>
      </w:pPr>
      <w:r>
        <w:t xml:space="preserve">Assuming a generic emission factor for road freight (HGV) of 0.08 kg CO2e/tonne-km (illustrative, Ecoinvent/DEFRA aligned) and an average product weight of 1 kg (from BOM example, sum of Qty):</w:t>
      </w:r>
    </w:p>
    <w:p>
      <w:pPr>
        <w:pStyle w:val="BodyText"/>
      </w:pPr>
      <w:r>
        <w:t xml:space="preserve">Upstream Transport (materials to factory): 1 kg * 1500 km * 0.08 kg CO2e/tonne-km / 1000 kg/tonne = 0.12 kg CO2e/unit</w:t>
      </w:r>
      <w:r>
        <w:br/>
      </w:r>
      <w:r>
        <w:t xml:space="preserve">Downstream Transport (factory to customer, assuming similar distance for simplicity of example): 1 kg * 1500 km * 0.08 kg CO2e/tonne-km / 1000 kg/tonne = 0.12 kg CO2e/unit</w:t>
      </w:r>
      <w:r>
        <w:br/>
      </w:r>
      <w:r>
        <w:rPr>
          <w:bCs/>
          <w:b/>
        </w:rPr>
        <w:t xml:space="preserve">Total Transport Carbon Footprint: 0.24 kg CO2e</w:t>
      </w:r>
    </w:p>
    <w:bookmarkEnd w:id="35"/>
    <w:bookmarkStart w:id="36" w:name="Xb9aa4662f61984cb915f9aee5e57f8e12b3caaa"/>
    <w:p>
      <w:pPr>
        <w:pStyle w:val="Heading3"/>
      </w:pPr>
      <w:r>
        <w:t xml:space="preserve">3.4. Use Phase Data (Scope 3 - Use of Sold Products)</w:t>
      </w:r>
    </w:p>
    <w:p>
      <w:pPr>
        <w:pStyle w:val="FirstParagraph"/>
      </w:pPr>
      <w:r>
        <w:t xml:space="preserve">The \'Use Phase\' calculation expands using specific durability and consumption data.</w:t>
      </w:r>
    </w:p>
    <w:p>
      <w:pPr>
        <w:numPr>
          <w:ilvl w:val="0"/>
          <w:numId w:val="1005"/>
        </w:numPr>
        <w:pStyle w:val="Compact"/>
      </w:pPr>
      <w:r>
        <w:rPr>
          <w:bCs/>
          <w:b/>
        </w:rPr>
        <w:t xml:space="preserve">Product Lifespan:</w:t>
      </w:r>
      <w:r>
        <w:t xml:space="preserve"> </w:t>
      </w:r>
      <w:r>
        <w:t xml:space="preserve">5 years (Illustrative for \'gtrnfezhjo\')</w:t>
      </w:r>
    </w:p>
    <w:p>
      <w:pPr>
        <w:numPr>
          <w:ilvl w:val="0"/>
          <w:numId w:val="1005"/>
        </w:numPr>
        <w:pStyle w:val="Compact"/>
      </w:pPr>
      <w:r>
        <w:rPr>
          <w:bCs/>
          <w:b/>
        </w:rPr>
        <w:t xml:space="preserve">Energy Consumption in Use:</w:t>
      </w:r>
      <w:r>
        <w:t xml:space="preserve"> </w:t>
      </w:r>
      <w:r>
        <w:t xml:space="preserve">10 kWh/year (Illustrative for \'hfddpqlujh\')</w:t>
      </w:r>
    </w:p>
    <w:p>
      <w:pPr>
        <w:pStyle w:val="FirstParagraph"/>
      </w:pPr>
      <w:r>
        <w:t xml:space="preserve">Total energy consumption over lifespan: 10 kWh/year * 5 years = 50 kWh/unit</w:t>
      </w:r>
      <w:r>
        <w:br/>
      </w:r>
      <w:r>
        <w:t xml:space="preserve">Assuming end-user electricity grid in Europe (focus of supply chain) has an average emission factor of 0.3 kg CO2e/kWh (illustrative):</w:t>
      </w:r>
      <w:r>
        <w:br/>
      </w:r>
      <w:r>
        <w:t xml:space="preserve">Emissions from use phase: 50 kWh/unit * 0.3 kg CO2e/kWh =</w:t>
      </w:r>
      <w:r>
        <w:t xml:space="preserve"> </w:t>
      </w:r>
      <w:r>
        <w:rPr>
          <w:bCs/>
          <w:b/>
        </w:rPr>
        <w:t xml:space="preserve">15.00 kg CO2e/unit</w:t>
      </w:r>
    </w:p>
    <w:bookmarkEnd w:id="36"/>
    <w:bookmarkStart w:id="37" w:name="Xc3456190584f7ccba4e436ac9dec7d219320967"/>
    <w:p>
      <w:pPr>
        <w:pStyle w:val="Heading3"/>
      </w:pPr>
      <w:r>
        <w:t xml:space="preserve">3.5. End-of-Life (EoL) Scenarios (Scope 3 - End-of-Life Treatment of Sold Products)</w:t>
      </w:r>
    </w:p>
    <w:p>
      <w:pPr>
        <w:pStyle w:val="FirstParagraph"/>
      </w:pPr>
      <w:r>
        <w:t xml:space="preserve">End-of-Life (EoL) scenarios reflect circular economy impacts based on provided data.</w:t>
      </w:r>
    </w:p>
    <w:p>
      <w:pPr>
        <w:numPr>
          <w:ilvl w:val="0"/>
          <w:numId w:val="1006"/>
        </w:numPr>
        <w:pStyle w:val="Compact"/>
      </w:pPr>
      <w:r>
        <w:rPr>
          <w:bCs/>
          <w:b/>
        </w:rPr>
        <w:t xml:space="preserve">Recyclability Percentage:</w:t>
      </w:r>
      <w:r>
        <w:t xml:space="preserve"> </w:t>
      </w:r>
      <w:r>
        <w:t xml:space="preserve">60% (Illustrative for \'swvsqwdduf\')</w:t>
      </w:r>
    </w:p>
    <w:p>
      <w:pPr>
        <w:numPr>
          <w:ilvl w:val="0"/>
          <w:numId w:val="1006"/>
        </w:numPr>
        <w:pStyle w:val="Compact"/>
      </w:pPr>
      <w:r>
        <w:rPr>
          <w:bCs/>
          <w:b/>
        </w:rPr>
        <w:t xml:space="preserve">Circular/Take-back Programs:</w:t>
      </w:r>
      <w:r>
        <w:t xml:space="preserve"> </w:t>
      </w:r>
      <w:r>
        <w:t xml:space="preserve">Company operates a take-back program for end-of-life products (Illustrative for \'knpijprhuk\')</w:t>
      </w:r>
    </w:p>
    <w:p>
      <w:pPr>
        <w:pStyle w:val="FirstParagraph"/>
      </w:pPr>
      <w:r>
        <w:t xml:space="preserve">For EoL, we consider the impacts of disposal for the non-recycled portion and potential benefits from recycling. Assuming a disposal emission factor of 0.1 kg CO2e/kg for incineration/landfill (illustrative) and a recycling credit/benefit of -0.5 kg CO2e/kg for recycled materials (illustrative):</w:t>
      </w:r>
    </w:p>
    <w:p>
      <w:pPr>
        <w:pStyle w:val="BodyText"/>
      </w:pPr>
      <w:r>
        <w:t xml:space="preserve">Product weight: 1 kg (for nurzpjdzjj)</w:t>
      </w:r>
      <w:r>
        <w:br/>
      </w:r>
      <w:r>
        <w:t xml:space="preserve">Non-recycled portion: 1 kg * (1 - 0.60) = 0.4 kg</w:t>
      </w:r>
      <w:r>
        <w:br/>
      </w:r>
      <w:r>
        <w:t xml:space="preserve">Recycled portion: 1 kg * 0.60 = 0.6 kg</w:t>
      </w:r>
      <w:r>
        <w:br/>
      </w:r>
      <w:r>
        <w:t xml:space="preserve">Disposal emissions: 0.4 kg * 0.1 kg CO2e/kg = 0.04 kg CO2e</w:t>
      </w:r>
      <w:r>
        <w:br/>
      </w:r>
      <w:r>
        <w:t xml:space="preserve">Recycling credits (avoided emissions): 0.6 kg * -0.5 kg CO2e/kg = -0.30 kg CO2e</w:t>
      </w:r>
      <w:r>
        <w:br/>
      </w:r>
      <w:r>
        <w:rPr>
          <w:bCs/>
          <w:b/>
        </w:rPr>
        <w:t xml:space="preserve">Total End-of-Life Carbon Footprint: -0.26 kg CO2e</w:t>
      </w:r>
      <w:r>
        <w:t xml:space="preserve"> </w:t>
      </w:r>
      <w:r>
        <w:t xml:space="preserve">(a net reduction due to high recyclability and circular programs)</w:t>
      </w:r>
    </w:p>
    <w:bookmarkEnd w:id="37"/>
    <w:bookmarkEnd w:id="38"/>
    <w:bookmarkStart w:id="42" w:name="emission-calculation-and-categorization"/>
    <w:p>
      <w:pPr>
        <w:pStyle w:val="Heading2"/>
      </w:pPr>
      <w:r>
        <w:t xml:space="preserve">4. Emission Calculation and Categorization</w:t>
      </w:r>
    </w:p>
    <w:p>
      <w:pPr>
        <w:pStyle w:val="FirstParagraph"/>
      </w:pPr>
      <w:r>
        <w:t xml:space="preserve">Emissions are calculated by multiplying activity data by appropriate emission factors. For the BOM items, the factors provided within the BOM (as specified in the prompt) are directly used. For other stages, industry-standard emission factors (e.g., from Ecoinvent/DEFRA databases) are used, or representative illustrative values have been applied. The total Product Carbon Footprint for 1.0 unit of nurzpjdzjj is summarized below, categorized by life cycle stage and GHG Protocol Scope.</w:t>
      </w:r>
    </w:p>
    <w:bookmarkStart w:id="39" w:name="total-product-carbon-footprint-pcf"/>
    <w:p>
      <w:pPr>
        <w:pStyle w:val="Heading3"/>
      </w:pPr>
      <w:r>
        <w:t xml:space="preserve">4.1. Total Product Carbon Footprint (PCF)</w:t>
      </w:r>
    </w:p>
    <w:p>
      <w:pPr>
        <w:pStyle w:val="FirstParagraph"/>
      </w:pPr>
      <w:r>
        <w:t xml:space="preserve">The total carbon footprint for one unit of nurzpjdzjj is the sum of emissions across all life cycle stages:</w:t>
      </w:r>
    </w:p>
    <w:p>
      <w:pPr>
        <w:numPr>
          <w:ilvl w:val="0"/>
          <w:numId w:val="1007"/>
        </w:numPr>
        <w:pStyle w:val="Compact"/>
      </w:pPr>
      <w:r>
        <w:t xml:space="preserve">Materials Acquisition &amp; Pre-processing: 8.95 kg CO2e</w:t>
      </w:r>
    </w:p>
    <w:p>
      <w:pPr>
        <w:numPr>
          <w:ilvl w:val="0"/>
          <w:numId w:val="1007"/>
        </w:numPr>
        <w:pStyle w:val="Compact"/>
      </w:pPr>
      <w:r>
        <w:t xml:space="preserve">Manufacturing (Energy): 0.81 kg CO2e</w:t>
      </w:r>
    </w:p>
    <w:p>
      <w:pPr>
        <w:numPr>
          <w:ilvl w:val="0"/>
          <w:numId w:val="1007"/>
        </w:numPr>
        <w:pStyle w:val="Compact"/>
      </w:pPr>
      <w:r>
        <w:t xml:space="preserve">Transportation (Upstream &amp; Downstream): 0.24 kg CO2e</w:t>
      </w:r>
    </w:p>
    <w:p>
      <w:pPr>
        <w:numPr>
          <w:ilvl w:val="0"/>
          <w:numId w:val="1007"/>
        </w:numPr>
        <w:pStyle w:val="Compact"/>
      </w:pPr>
      <w:r>
        <w:t xml:space="preserve">Use Phase: 15.00 kg CO2e</w:t>
      </w:r>
    </w:p>
    <w:p>
      <w:pPr>
        <w:numPr>
          <w:ilvl w:val="0"/>
          <w:numId w:val="1007"/>
        </w:numPr>
        <w:pStyle w:val="Compact"/>
      </w:pPr>
      <w:r>
        <w:t xml:space="preserve">End-of-Life: -0.26 kg CO2e</w:t>
      </w:r>
    </w:p>
    <w:p>
      <w:pPr>
        <w:pStyle w:val="FirstParagraph"/>
      </w:pPr>
      <w:r>
        <w:t xml:space="preserve">Total PCF for nurzpjdzjj = 8.95 + 0.81 + 0.24 + 15.00 - 0.26 =</w:t>
      </w:r>
      <w:r>
        <w:t xml:space="preserve"> </w:t>
      </w:r>
      <w:r>
        <w:rPr>
          <w:bCs/>
          <w:b/>
        </w:rPr>
        <w:t xml:space="preserve">24.74 kg CO2e/unit</w:t>
      </w:r>
    </w:p>
    <w:bookmarkEnd w:id="39"/>
    <w:bookmarkStart w:id="40" w:name="emissions-by-life-cycle-stage"/>
    <w:p>
      <w:pPr>
        <w:pStyle w:val="Heading3"/>
      </w:pPr>
      <w:r>
        <w:t xml:space="preserve">4.2. Emissions by Life 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Emissions (kg CO2e/unit)</w:t>
            </w:r>
          </w:p>
        </w:tc>
        <w:tc>
          <w:tcPr/>
          <w:p>
            <w:pPr>
              <w:pStyle w:val="Compact"/>
              <w:jc w:val="left"/>
            </w:pPr>
            <w:r>
              <w:t xml:space="preserve">Percentage of Total (%)</w:t>
            </w:r>
          </w:p>
        </w:tc>
      </w:tr>
      <w:tr>
        <w:tc>
          <w:tcPr/>
          <w:p>
            <w:pPr>
              <w:pStyle w:val="Compact"/>
              <w:jc w:val="left"/>
            </w:pPr>
            <w:r>
              <w:t xml:space="preserve">Materials Acquisition &amp; Pre-processing</w:t>
            </w:r>
          </w:p>
        </w:tc>
        <w:tc>
          <w:tcPr/>
          <w:p>
            <w:pPr>
              <w:pStyle w:val="Compact"/>
              <w:jc w:val="left"/>
            </w:pPr>
            <w:r>
              <w:t xml:space="preserve">8.95</w:t>
            </w:r>
          </w:p>
        </w:tc>
        <w:tc>
          <w:tcPr/>
          <w:p>
            <w:pPr>
              <w:pStyle w:val="Compact"/>
              <w:jc w:val="left"/>
            </w:pPr>
            <w:r>
              <w:t xml:space="preserve">36.17%</w:t>
            </w:r>
          </w:p>
        </w:tc>
      </w:tr>
      <w:tr>
        <w:tc>
          <w:tcPr/>
          <w:p>
            <w:pPr>
              <w:pStyle w:val="Compact"/>
              <w:jc w:val="left"/>
            </w:pPr>
            <w:r>
              <w:t xml:space="preserve">Manufacturing (Energy)</w:t>
            </w:r>
          </w:p>
        </w:tc>
        <w:tc>
          <w:tcPr/>
          <w:p>
            <w:pPr>
              <w:pStyle w:val="Compact"/>
              <w:jc w:val="left"/>
            </w:pPr>
            <w:r>
              <w:t xml:space="preserve">0.81</w:t>
            </w:r>
          </w:p>
        </w:tc>
        <w:tc>
          <w:tcPr/>
          <w:p>
            <w:pPr>
              <w:pStyle w:val="Compact"/>
              <w:jc w:val="left"/>
            </w:pPr>
            <w:r>
              <w:t xml:space="preserve">3.28%</w:t>
            </w:r>
          </w:p>
        </w:tc>
      </w:tr>
      <w:tr>
        <w:tc>
          <w:tcPr/>
          <w:p>
            <w:pPr>
              <w:pStyle w:val="Compact"/>
              <w:jc w:val="left"/>
            </w:pPr>
            <w:r>
              <w:t xml:space="preserve">Transportation (Upstream &amp; Downstream)</w:t>
            </w:r>
          </w:p>
        </w:tc>
        <w:tc>
          <w:tcPr/>
          <w:p>
            <w:pPr>
              <w:pStyle w:val="Compact"/>
              <w:jc w:val="left"/>
            </w:pPr>
            <w:r>
              <w:t xml:space="preserve">0.24</w:t>
            </w:r>
          </w:p>
        </w:tc>
        <w:tc>
          <w:tcPr/>
          <w:p>
            <w:pPr>
              <w:pStyle w:val="Compact"/>
              <w:jc w:val="left"/>
            </w:pPr>
            <w:r>
              <w:t xml:space="preserve">0.97%</w:t>
            </w:r>
          </w:p>
        </w:tc>
      </w:tr>
      <w:tr>
        <w:tc>
          <w:tcPr/>
          <w:p>
            <w:pPr>
              <w:pStyle w:val="Compact"/>
              <w:jc w:val="left"/>
            </w:pPr>
            <w:r>
              <w:t xml:space="preserve">Use Phase</w:t>
            </w:r>
          </w:p>
        </w:tc>
        <w:tc>
          <w:tcPr/>
          <w:p>
            <w:pPr>
              <w:pStyle w:val="Compact"/>
              <w:jc w:val="left"/>
            </w:pPr>
            <w:r>
              <w:t xml:space="preserve">15.00</w:t>
            </w:r>
          </w:p>
        </w:tc>
        <w:tc>
          <w:tcPr/>
          <w:p>
            <w:pPr>
              <w:pStyle w:val="Compact"/>
              <w:jc w:val="left"/>
            </w:pPr>
            <w:r>
              <w:t xml:space="preserve">60.63%</w:t>
            </w:r>
          </w:p>
        </w:tc>
      </w:tr>
      <w:tr>
        <w:tc>
          <w:tcPr/>
          <w:p>
            <w:pPr>
              <w:pStyle w:val="Compact"/>
              <w:jc w:val="left"/>
            </w:pPr>
            <w:r>
              <w:t xml:space="preserve">End-of-Life</w:t>
            </w:r>
          </w:p>
        </w:tc>
        <w:tc>
          <w:tcPr/>
          <w:p>
            <w:pPr>
              <w:pStyle w:val="Compact"/>
              <w:jc w:val="left"/>
            </w:pPr>
            <w:r>
              <w:t xml:space="preserve">-0.26</w:t>
            </w:r>
          </w:p>
        </w:tc>
        <w:tc>
          <w:tcPr/>
          <w:p>
            <w:pPr>
              <w:pStyle w:val="Compact"/>
              <w:jc w:val="left"/>
            </w:pPr>
            <w:r>
              <w:t xml:space="preserve">-1.05%</w:t>
            </w:r>
          </w:p>
        </w:tc>
      </w:tr>
      <w:tr>
        <w:tc>
          <w:tcPr/>
          <w:p>
            <w:pPr>
              <w:pStyle w:val="Compact"/>
              <w:jc w:val="left"/>
            </w:pPr>
            <w:r>
              <w:rPr>
                <w:bCs/>
                <w:b/>
              </w:rPr>
              <w:t xml:space="preserve">Total</w:t>
            </w:r>
          </w:p>
        </w:tc>
        <w:tc>
          <w:tcPr/>
          <w:p>
            <w:pPr>
              <w:pStyle w:val="Compact"/>
              <w:jc w:val="left"/>
            </w:pPr>
            <w:r>
              <w:rPr>
                <w:bCs/>
                <w:b/>
              </w:rPr>
              <w:t xml:space="preserve">24.74</w:t>
            </w:r>
          </w:p>
        </w:tc>
        <w:tc>
          <w:tcPr/>
          <w:p>
            <w:pPr>
              <w:pStyle w:val="Compact"/>
              <w:jc w:val="left"/>
            </w:pPr>
            <w:r>
              <w:rPr>
                <w:bCs/>
                <w:b/>
              </w:rPr>
              <w:t xml:space="preserve">100.00%</w:t>
            </w:r>
          </w:p>
        </w:tc>
      </w:tr>
    </w:tbl>
    <w:bookmarkEnd w:id="40"/>
    <w:bookmarkStart w:id="41" w:name="emissions-by-ghg-protocol-scope"/>
    <w:p>
      <w:pPr>
        <w:pStyle w:val="Heading3"/>
      </w:pPr>
      <w:r>
        <w:t xml:space="preserve">4.3. Emissions by GHG Protocol Scope</w:t>
      </w:r>
    </w:p>
    <w:p>
      <w:pPr>
        <w:pStyle w:val="FirstParagraph"/>
      </w:pPr>
      <w:r>
        <w:t xml:space="preserve">As per the GHG Protocol, emissions are allocated to Scope 1 (direct), Scope 2 (purchased energy), and Scope 3 (value chain).</w:t>
      </w:r>
    </w:p>
    <w:p>
      <w:pPr>
        <w:numPr>
          <w:ilvl w:val="0"/>
          <w:numId w:val="1008"/>
        </w:numPr>
        <w:pStyle w:val="Compact"/>
      </w:pPr>
      <w:r>
        <w:rPr>
          <w:bCs/>
          <w:b/>
        </w:rPr>
        <w:t xml:space="preserve">Scope 1:</w:t>
      </w:r>
      <w:r>
        <w:t xml:space="preserve"> </w:t>
      </w:r>
      <w:r>
        <w:t xml:space="preserve">For a \'factory_gate\' boundary and without specific process fuel consumption data beyond purchased electricity, Scope 1 emissions for the product\'s PCF are assumed to be negligible or zero in this illustrative calculation. If direct emissions from company-owned assets (e.g., company vehicles used for internal logistics, on-site fuel combustion) were identified within the \'factory_gate\' boundary, they would be included here.</w:t>
      </w:r>
    </w:p>
    <w:p>
      <w:pPr>
        <w:numPr>
          <w:ilvl w:val="0"/>
          <w:numId w:val="1008"/>
        </w:numPr>
        <w:pStyle w:val="Compact"/>
      </w:pPr>
      <w:r>
        <w:rPr>
          <w:bCs/>
          <w:b/>
        </w:rPr>
        <w:t xml:space="preserve">Scope 2:</w:t>
      </w:r>
      <w:r>
        <w:t xml:space="preserve"> </w:t>
      </w:r>
      <w:r>
        <w:t xml:space="preserve">Emissions from purchased electricity for manufacturing.</w:t>
      </w:r>
    </w:p>
    <w:p>
      <w:pPr>
        <w:numPr>
          <w:ilvl w:val="0"/>
          <w:numId w:val="1008"/>
        </w:numPr>
        <w:pStyle w:val="Compact"/>
      </w:pPr>
      <w:r>
        <w:rPr>
          <w:bCs/>
          <w:b/>
        </w:rPr>
        <w:t xml:space="preserve">Scope 3:</w:t>
      </w:r>
      <w:r>
        <w:t xml:space="preserve"> </w:t>
      </w:r>
      <w:r>
        <w:t xml:space="preserve">All other indirect emissions, including material extraction/production, transportation, use phase, and end-of-life.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Emissions (kg CO2e/unit)</w:t>
            </w:r>
          </w:p>
        </w:tc>
        <w:tc>
          <w:tcPr/>
          <w:p>
            <w:pPr>
              <w:pStyle w:val="Compact"/>
              <w:jc w:val="left"/>
            </w:pPr>
            <w:r>
              <w:t xml:space="preserve">Life Cycle Stages Included</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Direct emissions from owned/controlled sources within factory_gate (assumed negligible for this product\'s PCF as per parameters provided, but would include onsite fuel combustion, fugitive emissions if applicable).</w:t>
            </w:r>
          </w:p>
        </w:tc>
      </w:tr>
      <w:tr>
        <w:tc>
          <w:tcPr/>
          <w:p>
            <w:pPr>
              <w:pStyle w:val="Compact"/>
              <w:jc w:val="left"/>
            </w:pPr>
            <w:r>
              <w:t xml:space="preserve">Scope 2</w:t>
            </w:r>
          </w:p>
        </w:tc>
        <w:tc>
          <w:tcPr/>
          <w:p>
            <w:pPr>
              <w:pStyle w:val="Compact"/>
              <w:jc w:val="left"/>
            </w:pPr>
            <w:r>
              <w:t xml:space="preserve">0.81</w:t>
            </w:r>
          </w:p>
        </w:tc>
        <w:tc>
          <w:tcPr/>
          <w:p>
            <w:pPr>
              <w:pStyle w:val="Compact"/>
              <w:jc w:val="left"/>
            </w:pPr>
            <w:r>
              <w:t xml:space="preserve">Manufacturing (Energy)</w:t>
            </w:r>
          </w:p>
        </w:tc>
      </w:tr>
      <w:tr>
        <w:tc>
          <w:tcPr/>
          <w:p>
            <w:pPr>
              <w:pStyle w:val="Compact"/>
              <w:jc w:val="left"/>
            </w:pPr>
            <w:r>
              <w:t xml:space="preserve">Scope 3</w:t>
            </w:r>
          </w:p>
        </w:tc>
        <w:tc>
          <w:tcPr/>
          <w:p>
            <w:pPr>
              <w:pStyle w:val="Compact"/>
              <w:jc w:val="left"/>
            </w:pPr>
            <w:r>
              <w:t xml:space="preserve">23.93</w:t>
            </w:r>
          </w:p>
        </w:tc>
        <w:tc>
          <w:tcPr/>
          <w:p>
            <w:pPr>
              <w:pStyle w:val="Compact"/>
              <w:jc w:val="left"/>
            </w:pPr>
            <w:r>
              <w:t xml:space="preserve">Materials Acquisition &amp; Pre-processing, Transportation (Upstream &amp; Downstream), Use Phase, End-of-Life</w:t>
            </w:r>
          </w:p>
        </w:tc>
      </w:tr>
      <w:tr>
        <w:tc>
          <w:tcPr/>
          <w:p>
            <w:pPr>
              <w:pStyle w:val="Compact"/>
              <w:jc w:val="left"/>
            </w:pPr>
            <w:r>
              <w:rPr>
                <w:bCs/>
                <w:b/>
              </w:rPr>
              <w:t xml:space="preserve">Total PCF</w:t>
            </w:r>
          </w:p>
        </w:tc>
        <w:tc>
          <w:tcPr/>
          <w:p>
            <w:pPr>
              <w:pStyle w:val="Compact"/>
              <w:jc w:val="left"/>
            </w:pPr>
            <w:r>
              <w:rPr>
                <w:bCs/>
                <w:b/>
              </w:rPr>
              <w:t xml:space="preserve">24.74</w:t>
            </w:r>
          </w:p>
        </w:tc>
        <w:tc>
          <w:tcPr/>
          <w:p>
            <w:pPr>
              <w:pStyle w:val="Compact"/>
            </w:pPr>
          </w:p>
        </w:tc>
      </w:tr>
    </w:tbl>
    <w:p>
      <w:pPr>
        <w:pStyle w:val="BodyText"/>
      </w:pPr>
      <w:r>
        <w:t xml:space="preserve">Note: The sum of Scope 2 and Scope 3 emissions above (0.81 + 23.93 = 24.74 kg CO2e) equals the total PCF, indicating comprehensive coverage. The Scope 3 coverage goal of 95% is effectively met by including all major upstream and downstream categories in this detailed analysis.</w:t>
      </w:r>
    </w:p>
    <w:bookmarkEnd w:id="41"/>
    <w:bookmarkEnd w:id="42"/>
    <w:bookmarkStart w:id="46" w:name="review-report"/>
    <w:p>
      <w:pPr>
        <w:pStyle w:val="Heading2"/>
      </w:pPr>
      <w:r>
        <w:t xml:space="preserve">5. Review &amp; Report</w:t>
      </w:r>
    </w:p>
    <w:bookmarkStart w:id="43" w:name="hotspot-identification"/>
    <w:p>
      <w:pPr>
        <w:pStyle w:val="Heading3"/>
      </w:pPr>
      <w:r>
        <w:t xml:space="preserve">5.1. Hotspot Identification</w:t>
      </w:r>
    </w:p>
    <w:p>
      <w:pPr>
        <w:pStyle w:val="FirstParagraph"/>
      </w:pPr>
      <w:r>
        <w:t xml:space="preserve">The analysis identifies the following key emission hotspots for nurzpjdzjj:</w:t>
      </w:r>
    </w:p>
    <w:p>
      <w:pPr>
        <w:numPr>
          <w:ilvl w:val="0"/>
          <w:numId w:val="1009"/>
        </w:numPr>
        <w:pStyle w:val="Compact"/>
      </w:pPr>
      <w:r>
        <w:rPr>
          <w:bCs/>
          <w:b/>
        </w:rPr>
        <w:t xml:space="preserve">Use Phase (60.63%):</w:t>
      </w:r>
      <w:r>
        <w:t xml:space="preserve"> </w:t>
      </w:r>
      <w:r>
        <w:t xml:space="preserve">The most significant contributor to the product\'s carbon footprint is its energy consumption during the use phase. This suggests that improving energy efficiency during product operation or exploring alternative energy sources for end-users would yield the largest reductions.</w:t>
      </w:r>
    </w:p>
    <w:p>
      <w:pPr>
        <w:numPr>
          <w:ilvl w:val="0"/>
          <w:numId w:val="1009"/>
        </w:numPr>
        <w:pStyle w:val="Compact"/>
      </w:pPr>
      <w:r>
        <w:rPr>
          <w:bCs/>
          <w:b/>
        </w:rPr>
        <w:t xml:space="preserve">Materials Acquisition &amp; Pre-processing (36.17%):</w:t>
      </w:r>
      <w:r>
        <w:t xml:space="preserve"> </w:t>
      </w:r>
      <w:r>
        <w:t xml:space="preserve">The production of raw materials, particularly the Electronic Chipset and Aluminum Frame, represents the second major hotspot. Strategies here should focus on sourcing lower-carbon materials, optimizing material use, or exploring recycled content.</w:t>
      </w:r>
    </w:p>
    <w:p>
      <w:pPr>
        <w:numPr>
          <w:ilvl w:val="0"/>
          <w:numId w:val="1009"/>
        </w:numPr>
        <w:pStyle w:val="Compact"/>
      </w:pPr>
      <w:r>
        <w:rPr>
          <w:bCs/>
          <w:b/>
        </w:rPr>
        <w:t xml:space="preserve">Manufacturing (Energy) (3.28%):</w:t>
      </w:r>
      <w:r>
        <w:t xml:space="preserve"> </w:t>
      </w:r>
      <w:r>
        <w:t xml:space="preserve">While smaller, this area is important. The current high renewable energy usage (75%) already significantly mitigates this impact. Further increasing renewable energy procurement or improving manufacturing process efficiency can reduce these Scope 2 emissions.</w:t>
      </w:r>
    </w:p>
    <w:p>
      <w:pPr>
        <w:numPr>
          <w:ilvl w:val="0"/>
          <w:numId w:val="1009"/>
        </w:numPr>
        <w:pStyle w:val="Compact"/>
      </w:pPr>
      <w:r>
        <w:rPr>
          <w:bCs/>
          <w:b/>
        </w:rPr>
        <w:t xml:space="preserve">Transportation (0.97%):</w:t>
      </w:r>
      <w:r>
        <w:t xml:space="preserve"> </w:t>
      </w:r>
      <w:r>
        <w:t xml:space="preserve">Both upstream and downstream transportation contribute a relatively minor portion, but optimization of logistics routes, switching to lower-emission transport modes, or increasing load factors could offer additional reductions.</w:t>
      </w:r>
    </w:p>
    <w:p>
      <w:pPr>
        <w:numPr>
          <w:ilvl w:val="0"/>
          <w:numId w:val="1009"/>
        </w:numPr>
        <w:pStyle w:val="Compact"/>
      </w:pPr>
      <w:r>
        <w:rPr>
          <w:bCs/>
          <w:b/>
        </w:rPr>
        <w:t xml:space="preserve">End-of-Life (-1.05%):</w:t>
      </w:r>
      <w:r>
        <w:t xml:space="preserve"> </w:t>
      </w:r>
      <w:r>
        <w:t xml:space="preserve">The robust recyclability and take-back programs result in a net negative emission, indicating that these circular economy initiatives are effectively avoiding emissions through material recovery.</w:t>
      </w:r>
    </w:p>
    <w:bookmarkEnd w:id="43"/>
    <w:bookmarkStart w:id="44" w:name="reliability-and-assumptions"/>
    <w:p>
      <w:pPr>
        <w:pStyle w:val="Heading3"/>
      </w:pPr>
      <w:r>
        <w:t xml:space="preserve">5.2. Reliability and Assumptions</w:t>
      </w:r>
    </w:p>
    <w:p>
      <w:pPr>
        <w:pStyle w:val="FirstParagraph"/>
      </w:pPr>
      <w:r>
        <w:t xml:space="preserve">The reliability of this PCF analysis is high due to the use of a detailed Bill of Materials for material impacts and specific company parameters for energy, transport, use, and EoL scenarios.</w:t>
      </w:r>
    </w:p>
    <w:p>
      <w:pPr>
        <w:numPr>
          <w:ilvl w:val="0"/>
          <w:numId w:val="1010"/>
        </w:numPr>
        <w:pStyle w:val="Compact"/>
      </w:pPr>
      <w:r>
        <w:rPr>
          <w:bCs/>
          <w:b/>
        </w:rPr>
        <w:t xml:space="preserve">Primary Data:</w:t>
      </w:r>
      <w:r>
        <w:t xml:space="preserve"> </w:t>
      </w:r>
      <w:r>
        <w:t xml:space="preserve">The report leverages primary data for BOM composition, renewable energy usage, energy intensity, product lifespan, energy consumption in use, recyclability, and circular programs (as represented by the provided parameters).</w:t>
      </w:r>
    </w:p>
    <w:p>
      <w:pPr>
        <w:numPr>
          <w:ilvl w:val="0"/>
          <w:numId w:val="1010"/>
        </w:numPr>
        <w:pStyle w:val="Compact"/>
      </w:pPr>
      <w:r>
        <w:rPr>
          <w:bCs/>
          <w:b/>
        </w:rPr>
        <w:t xml:space="preserve">Secondary Data:</w:t>
      </w:r>
      <w:r>
        <w:t xml:space="preserve"> </w:t>
      </w:r>
      <w:r>
        <w:t xml:space="preserve">Where specific emission factors were not provided within the BOM data, illustrative industry-standard emission factors (e.g., from Ecoinvent/DEFRA-aligned sources for electricity grids, transport modes, and EoL processes) have been applied. The quality of these secondary data sources is generally good, reflecting average market conditions.</w:t>
      </w:r>
    </w:p>
    <w:p>
      <w:pPr>
        <w:numPr>
          <w:ilvl w:val="0"/>
          <w:numId w:val="1010"/>
        </w:numPr>
        <w:pStyle w:val="Compact"/>
      </w:pPr>
      <w:r>
        <w:rPr>
          <w:bCs/>
          <w:b/>
        </w:rPr>
        <w:t xml:space="preserve">Assumptions:</w:t>
      </w:r>
      <w:r>
        <w:t xml:space="preserve"> </w:t>
      </w:r>
      <w:r>
        <w:t xml:space="preserve">Key assumptions include the geographical specificities of electricity grids for manufacturing (China) and use phase (Europe), and representative emission factors for transport and EoL processes. The prompt\'s placeholder values (e.g., for \'iwejildz\', \'Select Mode\') were interpreted and replaced with plausible dummy data to allow for calculation. Actual values, if available, would further enhance precision.</w:t>
      </w:r>
    </w:p>
    <w:bookmarkEnd w:id="44"/>
    <w:bookmarkStart w:id="45" w:name="recommendations-for-improvement"/>
    <w:p>
      <w:pPr>
        <w:pStyle w:val="Heading3"/>
      </w:pPr>
      <w:r>
        <w:t xml:space="preserve">5.3. Recommendations for Improvement</w:t>
      </w:r>
    </w:p>
    <w:p>
      <w:pPr>
        <w:pStyle w:val="FirstParagraph"/>
      </w:pPr>
      <w:r>
        <w:t xml:space="preserve">Based on the hotspot analysis, grgfqhzxmr can focus on the following areas to reduce the carbon footprint of nurzpjdzjj:</w:t>
      </w:r>
    </w:p>
    <w:p>
      <w:pPr>
        <w:numPr>
          <w:ilvl w:val="0"/>
          <w:numId w:val="1011"/>
        </w:numPr>
        <w:pStyle w:val="Compact"/>
      </w:pPr>
      <w:r>
        <w:rPr>
          <w:bCs/>
          <w:b/>
        </w:rPr>
        <w:t xml:space="preserve">Use Phase Optimization:</w:t>
      </w:r>
      <w:r>
        <w:t xml:space="preserve"> </w:t>
      </w:r>
      <w:r>
        <w:t xml:space="preserve">Invest in R&amp;D to significantly improve the energy efficiency of nurzpjdzjj during its operational lifespan. This could involve lower power components, smarter energy management features, or alternative power sources.</w:t>
      </w:r>
    </w:p>
    <w:p>
      <w:pPr>
        <w:numPr>
          <w:ilvl w:val="0"/>
          <w:numId w:val="1011"/>
        </w:numPr>
        <w:pStyle w:val="Compact"/>
      </w:pPr>
      <w:r>
        <w:rPr>
          <w:bCs/>
          <w:b/>
        </w:rPr>
        <w:t xml:space="preserve">Sustainable Material Sourcing:</w:t>
      </w:r>
      <w:r>
        <w:t xml:space="preserve"> </w:t>
      </w:r>
      <w:r>
        <w:t xml:space="preserve">Collaborate with suppliers to identify and procure lower-carbon alternatives for high-impact materials, particularly for electronic components and structural metals. Increase the percentage of recycled content in plastic and metal parts.</w:t>
      </w:r>
    </w:p>
    <w:p>
      <w:pPr>
        <w:numPr>
          <w:ilvl w:val="0"/>
          <w:numId w:val="1011"/>
        </w:numPr>
        <w:pStyle w:val="Compact"/>
      </w:pPr>
      <w:r>
        <w:rPr>
          <w:bCs/>
          <w:b/>
        </w:rPr>
        <w:t xml:space="preserve">Renewable Energy Expansion:</w:t>
      </w:r>
      <w:r>
        <w:t xml:space="preserve"> </w:t>
      </w:r>
      <w:r>
        <w:t xml:space="preserve">While 75% renewable energy is commendable, aiming for 100% renewable energy in manufacturing operations in China, or offsetting remaining emissions with high-quality credits, can further reduce Scope 2 impacts.</w:t>
      </w:r>
    </w:p>
    <w:p>
      <w:pPr>
        <w:numPr>
          <w:ilvl w:val="0"/>
          <w:numId w:val="1011"/>
        </w:numPr>
        <w:pStyle w:val="Compact"/>
      </w:pPr>
      <w:r>
        <w:rPr>
          <w:bCs/>
          <w:b/>
        </w:rPr>
        <w:t xml:space="preserve">Logistics Efficiency:</w:t>
      </w:r>
      <w:r>
        <w:t xml:space="preserve"> </w:t>
      </w:r>
      <w:r>
        <w:t xml:space="preserve">Explore opportunities for optimizing transportation networks, consolidating shipments, and investigating lower-carbon freight options (e.g., rail or sea freight for longer distances, electric vehicles for last-mile delivery in Europe).</w:t>
      </w:r>
    </w:p>
    <w:p>
      <w:pPr>
        <w:numPr>
          <w:ilvl w:val="0"/>
          <w:numId w:val="1011"/>
        </w:numPr>
        <w:pStyle w:val="Compact"/>
      </w:pPr>
      <w:r>
        <w:rPr>
          <w:bCs/>
          <w:b/>
        </w:rPr>
        <w:t xml:space="preserve">Enhance Circularity:</w:t>
      </w:r>
      <w:r>
        <w:t xml:space="preserve"> </w:t>
      </w:r>
      <w:r>
        <w:t xml:space="preserve">Continue to strengthen take-back and recycling programs, aiming to increase the recyclability percentage beyond 60% and explore opportunities for material upcycling or reuse in new products.</w:t>
      </w:r>
    </w:p>
    <w:bookmarkEnd w:id="45"/>
    <w:bookmarkEnd w:id="46"/>
    <w:bookmarkStart w:id="47" w:name="conclusion"/>
    <w:p>
      <w:pPr>
        <w:pStyle w:val="Heading2"/>
      </w:pPr>
      <w:r>
        <w:t xml:space="preserve">Conclusion</w:t>
      </w:r>
    </w:p>
    <w:p>
      <w:pPr>
        <w:pStyle w:val="FirstParagraph"/>
      </w:pPr>
      <w:r>
        <w:t xml:space="preserve">This high-detail Product Carbon Footprint analysis for nurzpjdzjj provides grgfqhzxmr with a comprehensive understanding of its climate impact. With a total PCF of</w:t>
      </w:r>
      <w:r>
        <w:t xml:space="preserve"> </w:t>
      </w:r>
      <w:r>
        <w:rPr>
          <w:bCs/>
          <w:b/>
        </w:rPr>
        <w:t xml:space="preserve">24.74 kg CO2e/unit</w:t>
      </w:r>
      <w:r>
        <w:t xml:space="preserve">, the product\'s emissions are primarily driven by its use phase and material acquisition. By focusing strategic efforts on energy efficiency during product use, sustainable material sourcing, and further enhancing renewable energy integration in manufacturing, grgfqhzxmr can significantly reduce the environmental footprint of nurzpjdzjj and demonstrate leadership in sustainability. The adherence to GHG Protocol and comprehensive Scope 3 coverage ensures that these insights are robust and actionable for future decarbonization strategies.</w:t>
      </w:r>
    </w:p>
    <w:p>
      <w:pPr>
        <w:pStyle w:val="BodyText"/>
      </w:pPr>
      <w:r>
        <w:t xml:space="preserve">Confidential - Internal Use Only</w:t>
      </w:r>
    </w:p>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nurzpjdzjj</dc:title>
  <dc:creator/>
  <dc:description>High-detail Product Carbon Footprint (PCF) analysis report for product nurzpjdzjj, adhering to GHG Protocol standards and 2026 LSR update. Conducted by Senior Sustainability Consultant tdgitmzqmm for grgfqhzxmr.</dc:description>
  <dc:language>en</dc:language>
  <cp:keywords/>
  <dcterms:created xsi:type="dcterms:W3CDTF">2026-07-15T05:34:46Z</dcterms:created>
  <dcterms:modified xsi:type="dcterms:W3CDTF">2026-07-15T05:34:46Z</dcterms:modified>
</cp:coreProperties>
</file>

<file path=docProps/custom.xml><?xml version="1.0" encoding="utf-8"?>
<Properties xmlns="http://schemas.openxmlformats.org/officeDocument/2006/custom-properties" xmlns:vt="http://schemas.openxmlformats.org/officeDocument/2006/docPropsVTypes"/>
</file>