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nnqonydqtu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nqonydqtu"/>
    <w:p>
      <w:pPr>
        <w:pStyle w:val="Heading2"/>
      </w:pPr>
      <w:r>
        <w:t xml:space="preserve">Product: nnqonydqtu</w:t>
      </w:r>
    </w:p>
    <w:p>
      <w:pPr>
        <w:pStyle w:val="FirstParagraph"/>
      </w:pPr>
      <w:r>
        <w:rPr>
          <w:bCs/>
          <w:b/>
        </w:rPr>
        <w:t xml:space="preserve">Company Name:</w:t>
      </w:r>
      <w:r>
        <w:t xml:space="preserve"> </w:t>
      </w:r>
      <w:r>
        <w:t xml:space="preserve">hmlvdgjrnr</w:t>
      </w:r>
    </w:p>
    <w:p>
      <w:pPr>
        <w:pStyle w:val="BodyText"/>
      </w:pPr>
      <w:r>
        <w:rPr>
          <w:bCs/>
          <w:b/>
        </w:rPr>
        <w:t xml:space="preserve">Senior Sustainability Consultant:</w:t>
      </w:r>
      <w:r>
        <w:t xml:space="preserve"> </w:t>
      </w:r>
      <w:r>
        <w:t xml:space="preserve">sgjqnqqupq</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values may vary based on precise, real-time data collection and should be verified with primary data sources.</w:t>
      </w:r>
    </w:p>
    <w:bookmarkEnd w:id="20"/>
    <w:bookmarkEnd w:id="21"/>
    <w:bookmarkStart w:id="47" w:name="Xb96b1f6899c3c713909ba9cdc5dd5d2b7b60242"/>
    <w:p>
      <w:pPr>
        <w:pStyle w:val="Heading1"/>
      </w:pPr>
      <w:r>
        <w:t xml:space="preserve">Product Carbon Footprint Analysis Report: nnqonydqtu</w:t>
      </w:r>
    </w:p>
    <w:p>
      <w:pPr>
        <w:pStyle w:val="FirstParagraph"/>
      </w:pPr>
      <w:r>
        <w:rPr>
          <w:bCs/>
          <w:b/>
        </w:rPr>
        <w:t xml:space="preserve">Generated Date:</w:t>
      </w:r>
      <w:r>
        <w:t xml:space="preserve"> </w:t>
      </w:r>
      <w:r>
        <w:t xml:space="preserve">May 18, 2026</w:t>
      </w:r>
    </w:p>
    <w:p>
      <w:pPr>
        <w:pStyle w:val="BodyText"/>
      </w:pPr>
      <w:r>
        <w:rPr>
          <w:bCs/>
          <w:b/>
        </w:rPr>
        <w:t xml:space="preserve">Prepared for:</w:t>
      </w:r>
      <w:r>
        <w:t xml:space="preserve"> </w:t>
      </w:r>
      <w:r>
        <w:t xml:space="preserve">hmlvdgjrnr</w:t>
      </w:r>
    </w:p>
    <w:p>
      <w:pPr>
        <w:pStyle w:val="BodyText"/>
      </w:pPr>
      <w:r>
        <w:rPr>
          <w:bCs/>
          <w:b/>
        </w:rPr>
        <w:t xml:space="preserve">Prepared by:</w:t>
      </w:r>
      <w:r>
        <w:t xml:space="preserve"> </w:t>
      </w:r>
      <w:r>
        <w:t xml:space="preserve">sgjqnqqupq, Senior Sustainability Consultant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nnqonydqtu, manufactured by hmlvdgjrnr. As sgjqnqqupq, Senior Sustainability Consultant, this analysis adheres strictly to the GHG Protocol Product Life Cycle Accounting and Reporting Standard, incorporating the principles of the 2026 Land Sector and Removals (LSR) Standard update and aiming for at least 95% Scope 3 coverage. The assessment covers the product\'s lifecycle from raw material acquisition through manufacturing, transportation, use, and end-of-life. The primary objective is to quantify the greenhouse gas (GHG) emissions associated with nnqonydqtu, identify emission hotspots, and provide actionable recommendations for reduction. Due to the placeholder nature of some input parameters (e.g., BOM details, specific transport data, energy usage, and end-of-life scenarios), the emission values presented are illustrative, demonstrating the methodology and framework.</w:t>
      </w:r>
    </w:p>
    <w:p>
      <w:r>
        <w:pict>
          <v:rect style="width:0;height:1.5pt" o:hralign="center" o:hrstd="t" o:hr="t"/>
        </w:pict>
      </w:r>
    </w:p>
    <w:bookmarkEnd w:id="22"/>
    <w:bookmarkStart w:id="26" w:name="introduction-and-scope-definition"/>
    <w:p>
      <w:pPr>
        <w:pStyle w:val="Heading2"/>
      </w:pPr>
      <w:r>
        <w:t xml:space="preserve">1. Introduction and Scope Definition</w:t>
      </w:r>
    </w:p>
    <w:p>
      <w:pPr>
        <w:pStyle w:val="FirstParagraph"/>
      </w:pPr>
      <w:r>
        <w:t xml:space="preserve">The Product Carbon Footprint (PCF) for nnqonydqtu is assessed based on the following foundational parameters:</w:t>
      </w:r>
    </w:p>
    <w:p>
      <w:pPr>
        <w:numPr>
          <w:ilvl w:val="0"/>
          <w:numId w:val="1001"/>
        </w:numPr>
        <w:pStyle w:val="Compact"/>
      </w:pPr>
      <w:r>
        <w:rPr>
          <w:bCs/>
          <w:b/>
        </w:rPr>
        <w:t xml:space="preserve">Functional Unit:</w:t>
      </w:r>
      <w:r>
        <w:t xml:space="preserve"> </w:t>
      </w:r>
      <w:r>
        <w:t xml:space="preserve">1.0 unit of nnqonydqtu.</w:t>
      </w:r>
    </w:p>
    <w:p>
      <w:pPr>
        <w:numPr>
          <w:ilvl w:val="0"/>
          <w:numId w:val="1001"/>
        </w:numPr>
        <w:pStyle w:val="Compact"/>
      </w:pPr>
      <w:r>
        <w:rPr>
          <w:bCs/>
          <w:b/>
        </w:rPr>
        <w:t xml:space="preserve">System Boundary:</w:t>
      </w:r>
      <w:r>
        <w:t xml:space="preserve"> </w:t>
      </w:r>
      <w:r>
        <w:t xml:space="preserve">While the primary specified boundary is "factory_gate" (cradle-to-gate), for a comprehensive understanding and per additional detailed parameter requirements, this analysis extends to a cradle-to-grave perspective, including the Use Phase and End-of-Life (EoL) stages.</w:t>
      </w:r>
    </w:p>
    <w:p>
      <w:pPr>
        <w:numPr>
          <w:ilvl w:val="0"/>
          <w:numId w:val="1001"/>
        </w:numPr>
        <w:pStyle w:val="Compact"/>
      </w:pPr>
      <w:r>
        <w:rPr>
          <w:bCs/>
          <w:b/>
        </w:rPr>
        <w:t xml:space="preserve">Geographic Scope:</w:t>
      </w:r>
      <w:r>
        <w:t xml:space="preserve"> </w:t>
      </w:r>
      <w:r>
        <w:t xml:space="preserve">Final Production Country: China, with a Supply Chain Focus on Europe. This dual focus acknowledges the primary manufacturing location while emphasizing the often significant impact of European-centric supply chains.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a globally consistent approach for measuring and managing product emissions, enabling better product design, increasing efficiencies, and reducing costs.</w:t>
      </w:r>
    </w:p>
    <w:bookmarkStart w:id="23" w:name="ghg-protocol-scope-definitions"/>
    <w:p>
      <w:pPr>
        <w:pStyle w:val="Heading3"/>
      </w:pPr>
      <w:r>
        <w:t xml:space="preserve">GHG Protocol Scope Definitions</w:t>
      </w:r>
    </w:p>
    <w:p>
      <w:pPr>
        <w:pStyle w:val="FirstParagraph"/>
      </w:pPr>
      <w:r>
        <w:t xml:space="preserve">Emissions are categorized according to the GHG Protocol into three scopes:</w:t>
      </w:r>
    </w:p>
    <w:p>
      <w:pPr>
        <w:numPr>
          <w:ilvl w:val="0"/>
          <w:numId w:val="1002"/>
        </w:numPr>
        <w:pStyle w:val="Compact"/>
      </w:pPr>
      <w:r>
        <w:rPr>
          <w:bCs/>
          <w:b/>
        </w:rPr>
        <w:t xml:space="preserve">Scope 1 (Direct Emissions):</w:t>
      </w:r>
      <w:r>
        <w:t xml:space="preserve"> </w:t>
      </w:r>
      <w:r>
        <w:t xml:space="preserve">GHG emissions from sources owned or controlled by hmlvdgjrnr (e.g., fuel combustion in company-owned vehicles or facilities during manufacturing).</w:t>
      </w:r>
    </w:p>
    <w:p>
      <w:pPr>
        <w:numPr>
          <w:ilvl w:val="0"/>
          <w:numId w:val="1002"/>
        </w:numPr>
        <w:pStyle w:val="Compact"/>
      </w:pPr>
      <w:r>
        <w:rPr>
          <w:bCs/>
          <w:b/>
        </w:rPr>
        <w:t xml:space="preserve">Scope 2 (Indirect Emissions from Purchased Energy):</w:t>
      </w:r>
      <w:r>
        <w:t xml:space="preserve"> </w:t>
      </w:r>
      <w:r>
        <w:t xml:space="preserve">GHG emissions from the generation of purchased electricity, heat, or steam consumed by hmlvdgjrnr\'s operations.</w:t>
      </w:r>
    </w:p>
    <w:p>
      <w:pPr>
        <w:numPr>
          <w:ilvl w:val="0"/>
          <w:numId w:val="1002"/>
        </w:numPr>
        <w:pStyle w:val="Compact"/>
      </w:pPr>
      <w:r>
        <w:rPr>
          <w:bCs/>
          <w:b/>
        </w:rPr>
        <w:t xml:space="preserve">Scope 3 (Other Indirect Emissions):</w:t>
      </w:r>
      <w:r>
        <w:t xml:space="preserve"> </w:t>
      </w:r>
      <w:r>
        <w:t xml:space="preserve">All other indirect GHG emissions that occur in the value chain of hmlvdgjrnr, both upstream and downstream. For many companies, Scope 3 emissions comprise a large share of their overall supply chain emissions. These include, but are not limited to, emissions from the extraction and production of purchased materials, transportation by third parties, the use of sold products, and their end-of-life treatment.</w:t>
      </w:r>
    </w:p>
    <w:bookmarkEnd w:id="23"/>
    <w:bookmarkStart w:id="24" w:name="lsr-update-application"/>
    <w:p>
      <w:pPr>
        <w:pStyle w:val="Heading3"/>
      </w:pPr>
      <w:r>
        <w:t xml:space="preserve">2026 LSR Update Application</w:t>
      </w:r>
    </w:p>
    <w:p>
      <w:pPr>
        <w:pStyle w:val="FirstParagraph"/>
      </w:pPr>
      <w:r>
        <w:t xml:space="preserve">This report applies the principles of the GHG Protocol Land Sector and Removals (LSR) Standard, which takes effect on January 1, 2027. The LSR Standard is the first GHG Protocol Standard to provide accounting requirements and guidance for quantifying, reporting, and tracking land emissions, CO₂ removals, and other key metrics, including technological CO₂ removals. This means that where raw materials or processes involve land use change, land management, or biogenic products in the value chain, their associated emissions and potential removals are considered within the Scope 3 framework, even if they occur upstream.</w:t>
      </w:r>
    </w:p>
    <w:bookmarkEnd w:id="24"/>
    <w:bookmarkStart w:id="25" w:name="scope-3-compliance"/>
    <w:p>
      <w:pPr>
        <w:pStyle w:val="Heading3"/>
      </w:pPr>
      <w:r>
        <w:t xml:space="preserve">Scope 3 Compliance</w:t>
      </w:r>
    </w:p>
    <w:p>
      <w:pPr>
        <w:pStyle w:val="FirstParagraph"/>
      </w:pPr>
      <w:r>
        <w:t xml:space="preserve">In line with 2026 requirements, this analysis aims for at least 95% coverage for Scope 3 reporting. This mandates a thorough assessment of upstream and downstream value chain activities. While specific data for all categories can be challenging to acquire, this report outlines the categories to be included, emphasizing the importance of detailed primary data collection from suppliers and other value chain partners for robust compliance.</w:t>
      </w:r>
    </w:p>
    <w:p>
      <w:r>
        <w:pict>
          <v:rect style="width:0;height:1.5pt" o:hralign="center" o:hrstd="t" o:hr="t"/>
        </w:pict>
      </w:r>
    </w:p>
    <w:bookmarkEnd w:id="25"/>
    <w:bookmarkEnd w:id="26"/>
    <w:bookmarkStart w:id="37" w:name="X07446f1d75e7f4027df09f2492f7984d920c3e2"/>
    <w:p>
      <w:pPr>
        <w:pStyle w:val="Heading2"/>
      </w:pPr>
      <w:r>
        <w:t xml:space="preserve">2. Lifecycle Mapping &amp; Data Collection (LCI Inventory Stages)</w:t>
      </w:r>
    </w:p>
    <w:p>
      <w:pPr>
        <w:pStyle w:val="FirstParagraph"/>
      </w:pPr>
      <w:r>
        <w:t xml:space="preserve">The lifecycle of nnqonydqtu is segmented into key stages for comprehensive emission assessment. For the purpose of this illustrative report, placeholder values are used to demonstrate the calculation methodology.</w:t>
      </w:r>
    </w:p>
    <w:bookmarkStart w:id="28" w:name="Xaba885746c44f212d3d1f92f53da46b282a3a15"/>
    <w:p>
      <w:pPr>
        <w:pStyle w:val="Heading3"/>
      </w:pPr>
      <w:r>
        <w:t xml:space="preserve">Raw Material Acquisition (Scope 3 Upstream)</w:t>
      </w:r>
    </w:p>
    <w:p>
      <w:pPr>
        <w:pStyle w:val="FirstParagraph"/>
      </w:pPr>
      <w:r>
        <w:t xml:space="preserve">This stage accounts for emissions from the extraction, processing, and production of all raw materials comprising nnqonydqtu. The provided placeholder Bill of Materials (BOM) \'figvnjyq\' serves as the structural basis for this analysis. Actual calculations would utilize precise data for each material.</w:t>
      </w:r>
    </w:p>
    <w:bookmarkStart w:id="27" w:name="Xdced44bcf51926b68a53a598d618c85cb8a51f8"/>
    <w:p>
      <w:pPr>
        <w:pStyle w:val="Heading4"/>
      </w:pPr>
      <w:r>
        <w:t xml:space="preserve">Detailed Bill of Materials (BOM) - Illustrative Example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M-002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0.9</w:t>
            </w:r>
          </w:p>
        </w:tc>
        <w:tc>
          <w:tcPr/>
          <w:p>
            <w:pPr>
              <w:pStyle w:val="Compact"/>
              <w:jc w:val="left"/>
            </w:pPr>
            <w:r>
              <w:t xml:space="preserve">0.27</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bl>
    <w:bookmarkEnd w:id="27"/>
    <w:bookmarkEnd w:id="28"/>
    <w:bookmarkStart w:id="30" w:name="X6779489a32cf4689f96c4c63061b847f5ee82dd"/>
    <w:p>
      <w:pPr>
        <w:pStyle w:val="Heading3"/>
      </w:pPr>
      <w:r>
        <w:t xml:space="preserve">Manufacturing (Scope 1, 2, and Scope 3 Upstream)</w:t>
      </w:r>
    </w:p>
    <w:p>
      <w:pPr>
        <w:pStyle w:val="FirstParagraph"/>
      </w:pPr>
      <w:r>
        <w:t xml:space="preserve">This stage includes emissions from the manufacturing processes in China, covering direct energy consumption, purchased electricity, and waste generation.</w:t>
      </w:r>
    </w:p>
    <w:p>
      <w:pPr>
        <w:numPr>
          <w:ilvl w:val="0"/>
          <w:numId w:val="1003"/>
        </w:numPr>
        <w:pStyle w:val="Compact"/>
      </w:pPr>
      <w:r>
        <w:rPr>
          <w:bCs/>
          <w:b/>
        </w:rPr>
        <w:t xml:space="preserve">Renewable Energy Usage (iirlwqosgd):</w:t>
      </w:r>
      <w:r>
        <w:t xml:space="preserve"> </w:t>
      </w:r>
      <w:r>
        <w:t xml:space="preserve">A specific percentage of renewable energy is stated to be used in the production process. For this report, an illustrative value of \'X\'% will be used to demonstrate its impact.</w:t>
      </w:r>
    </w:p>
    <w:p>
      <w:pPr>
        <w:numPr>
          <w:ilvl w:val="0"/>
          <w:numId w:val="1003"/>
        </w:numPr>
        <w:pStyle w:val="Compact"/>
      </w:pPr>
      <w:r>
        <w:rPr>
          <w:bCs/>
          <w:b/>
        </w:rPr>
        <w:t xml:space="preserve">Energy Intensity (kWh/unit):</w:t>
      </w:r>
      <w:r>
        <w:t xml:space="preserve"> </w:t>
      </w:r>
      <w:r>
        <w:t xml:space="preserve">The energy consumed per unit of nnqonydqtu, provided as \'dvesstxndx\'. An illustrative value of \'Y\' kWh/unit will be used.</w:t>
      </w:r>
    </w:p>
    <w:bookmarkStart w:id="29" w:name="X68a9bd66716c1af634d4ea2bc9e34b0346d08fb"/>
    <w:p>
      <w:pPr>
        <w:pStyle w:val="Heading4"/>
      </w:pPr>
      <w:r>
        <w:t xml:space="preserve">Energy Consumption in Production - Illustrative Example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Source</w:t>
            </w:r>
          </w:p>
        </w:tc>
        <w:tc>
          <w:tcPr/>
          <w:p>
            <w:pPr>
              <w:pStyle w:val="Compact"/>
              <w:jc w:val="left"/>
            </w:pPr>
            <w:r>
              <w:t xml:space="preserve">Usage (kWh/unit)</w:t>
            </w:r>
          </w:p>
        </w:tc>
        <w:tc>
          <w:tcPr/>
          <w:p>
            <w:pPr>
              <w:pStyle w:val="Compact"/>
              <w:jc w:val="left"/>
            </w:pPr>
            <w:r>
              <w:t xml:space="preserve">Renewable Percentage (%)</w:t>
            </w:r>
          </w:p>
        </w:tc>
        <w:tc>
          <w:tcPr/>
          <w:p>
            <w:pPr>
              <w:pStyle w:val="Compact"/>
              <w:jc w:val="left"/>
            </w:pPr>
            <w:r>
              <w:t xml:space="preserve">Grid Emission Factor (kg CO2e/kWh)</w:t>
            </w:r>
          </w:p>
        </w:tc>
        <w:tc>
          <w:tcPr/>
          <w:p>
            <w:pPr>
              <w:pStyle w:val="Compact"/>
              <w:jc w:val="left"/>
            </w:pPr>
            <w:r>
              <w:t xml:space="preserve">Renewable Emission Factor (kg CO2e/kWh)</w:t>
            </w:r>
          </w:p>
        </w:tc>
        <w:tc>
          <w:tcPr/>
          <w:p>
            <w:pPr>
              <w:pStyle w:val="Compact"/>
              <w:jc w:val="left"/>
            </w:pPr>
            <w:r>
              <w:t xml:space="preserve">Total Carbon (kg CO2e/unit)</w:t>
            </w:r>
          </w:p>
        </w:tc>
      </w:tr>
      <w:tr>
        <w:tc>
          <w:tcPr/>
          <w:p>
            <w:pPr>
              <w:pStyle w:val="Compact"/>
              <w:jc w:val="left"/>
            </w:pPr>
            <w:r>
              <w:t xml:space="preserve">Electricity (Purchased)</w:t>
            </w:r>
          </w:p>
        </w:tc>
        <w:tc>
          <w:tcPr/>
          <w:p>
            <w:pPr>
              <w:pStyle w:val="Compact"/>
              <w:jc w:val="left"/>
            </w:pPr>
            <w:r>
              <w:t xml:space="preserve">dvesstxndx (e.g., 5.0)</w:t>
            </w:r>
          </w:p>
        </w:tc>
        <w:tc>
          <w:tcPr/>
          <w:p>
            <w:pPr>
              <w:pStyle w:val="Compact"/>
              <w:jc w:val="left"/>
            </w:pPr>
            <w:r>
              <w:t xml:space="preserve">iirlwqosgd (e.g., 40%)</w:t>
            </w:r>
          </w:p>
        </w:tc>
        <w:tc>
          <w:tcPr/>
          <w:p>
            <w:pPr>
              <w:pStyle w:val="Compact"/>
              <w:jc w:val="left"/>
            </w:pPr>
            <w:r>
              <w:t xml:space="preserve">0.7 (China Grid Average)</w:t>
            </w:r>
          </w:p>
        </w:tc>
        <w:tc>
          <w:tcPr/>
          <w:p>
            <w:pPr>
              <w:pStyle w:val="Compact"/>
              <w:jc w:val="left"/>
            </w:pPr>
            <w:r>
              <w:t xml:space="preserve">0.02 (Residual Mix)</w:t>
            </w:r>
          </w:p>
        </w:tc>
        <w:tc>
          <w:tcPr/>
          <w:p>
            <w:pPr>
              <w:pStyle w:val="Compact"/>
              <w:jc w:val="left"/>
            </w:pPr>
            <w:r>
              <w:t xml:space="preserve">(5.0 * 0.6 * 0.7) + (5.0 * 0.4 * 0.02) = 2.14</w:t>
            </w:r>
          </w:p>
        </w:tc>
      </w:tr>
      <w:tr>
        <w:tc>
          <w:tcPr/>
          <w:p>
            <w:pPr>
              <w:pStyle w:val="Compact"/>
              <w:jc w:val="left"/>
            </w:pPr>
            <w:r>
              <w:t xml:space="preserve">Natural Gas (Direct)</w:t>
            </w:r>
          </w:p>
        </w:tc>
        <w:tc>
          <w:tcPr/>
          <w:p>
            <w:pPr>
              <w:pStyle w:val="Compact"/>
              <w:jc w:val="left"/>
            </w:pPr>
            <w:r>
              <w:t xml:space="preserve">0.5</w:t>
            </w:r>
          </w:p>
        </w:tc>
        <w:tc>
          <w:tcPr/>
          <w:p>
            <w:pPr>
              <w:pStyle w:val="Compact"/>
              <w:jc w:val="left"/>
            </w:pPr>
            <w:r>
              <w:t xml:space="preserve">0%</w:t>
            </w:r>
          </w:p>
        </w:tc>
        <w:tc>
          <w:tcPr/>
          <w:p>
            <w:pPr>
              <w:pStyle w:val="Compact"/>
              <w:jc w:val="left"/>
            </w:pPr>
            <w:r>
              <w:t xml:space="preserve">0.2 (kg CO2e/kWh)</w:t>
            </w:r>
          </w:p>
        </w:tc>
        <w:tc>
          <w:tcPr/>
          <w:p>
            <w:pPr>
              <w:pStyle w:val="Compact"/>
              <w:jc w:val="left"/>
            </w:pPr>
            <w:r>
              <w:t xml:space="preserve">N/A</w:t>
            </w:r>
          </w:p>
        </w:tc>
        <w:tc>
          <w:tcPr/>
          <w:p>
            <w:pPr>
              <w:pStyle w:val="Compact"/>
              <w:jc w:val="left"/>
            </w:pPr>
            <w:r>
              <w:t xml:space="preserve">0.5 * 0.2 = 0.10</w:t>
            </w:r>
          </w:p>
        </w:tc>
      </w:tr>
    </w:tbl>
    <w:p>
      <w:pPr>
        <w:pStyle w:val="BodyText"/>
      </w:pPr>
      <w:r>
        <w:rPr>
          <w:iCs/>
          <w:i/>
        </w:rPr>
        <w:t xml:space="preserve">Note: Direct emissions from owned/controlled processes (Scope 1, e.g., natural gas combustion) and indirect emissions from purchased electricity (Scope 2) are calculated here. Upstream emissions from manufacturing waste are categorized as Scope 3.</w:t>
      </w:r>
    </w:p>
    <w:bookmarkEnd w:id="29"/>
    <w:bookmarkEnd w:id="30"/>
    <w:bookmarkStart w:id="32" w:name="Xa72cd89f200eee69afd134ad22c65583d62e21f"/>
    <w:p>
      <w:pPr>
        <w:pStyle w:val="Heading3"/>
      </w:pPr>
      <w:r>
        <w:t xml:space="preserve">Transportation (Scope 3 Upstream &amp; Downstream)</w:t>
      </w:r>
    </w:p>
    <w:p>
      <w:pPr>
        <w:pStyle w:val="FirstParagraph"/>
      </w:pPr>
      <w:r>
        <w:t xml:space="preserve">This covers logistics from raw material suppliers (Europe Focused) to the manufacturing plant in China, and from the plant to the final delivery channel.</w:t>
      </w:r>
    </w:p>
    <w:p>
      <w:pPr>
        <w:numPr>
          <w:ilvl w:val="0"/>
          <w:numId w:val="1004"/>
        </w:numPr>
        <w:pStyle w:val="Compact"/>
      </w:pPr>
      <w:r>
        <w:rPr>
          <w:bCs/>
          <w:b/>
        </w:rPr>
        <w:t xml:space="preserve">Transport Mode:</w:t>
      </w:r>
      <w:r>
        <w:t xml:space="preserve"> </w:t>
      </w:r>
      <w:r>
        <w:t xml:space="preserve">\'Select Mode\' (e.g., Sea Freight, Road Freight).</w:t>
      </w:r>
    </w:p>
    <w:p>
      <w:pPr>
        <w:numPr>
          <w:ilvl w:val="0"/>
          <w:numId w:val="1004"/>
        </w:numPr>
        <w:pStyle w:val="Compact"/>
      </w:pPr>
      <w:r>
        <w:rPr>
          <w:bCs/>
          <w:b/>
        </w:rPr>
        <w:t xml:space="preserve">Transport Distance:</w:t>
      </w:r>
      <w:r>
        <w:t xml:space="preserve"> </w:t>
      </w:r>
      <w:r>
        <w:t xml:space="preserve">\'mlnjeojvhk\' (e.g., in km).</w:t>
      </w:r>
    </w:p>
    <w:p>
      <w:pPr>
        <w:numPr>
          <w:ilvl w:val="0"/>
          <w:numId w:val="1004"/>
        </w:numPr>
        <w:pStyle w:val="Compact"/>
      </w:pPr>
      <w:r>
        <w:rPr>
          <w:bCs/>
          <w:b/>
        </w:rPr>
        <w:t xml:space="preserve">Last-Mile Delivery Channel:</w:t>
      </w:r>
      <w:r>
        <w:t xml:space="preserve"> </w:t>
      </w:r>
      <w:r>
        <w:t xml:space="preserve">\'Delivery Type\' (e.g., Parcel Post, LTL).</w:t>
      </w:r>
    </w:p>
    <w:bookmarkStart w:id="31" w:name="Xd974683af9cf56e37f37576a8eac887af63e33f"/>
    <w:p>
      <w:pPr>
        <w:pStyle w:val="Heading4"/>
      </w:pPr>
      <w:r>
        <w:t xml:space="preserve">Transportation Details - Illustrative Example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(kg)</w:t>
            </w:r>
          </w:p>
        </w:tc>
        <w:tc>
          <w:tcPr/>
          <w:p>
            <w:pPr>
              <w:pStyle w:val="Compact"/>
              <w:jc w:val="left"/>
            </w:pPr>
            <w:r>
              <w:t xml:space="preserve">Emission Factor (kg CO2e/tkm)</w:t>
            </w:r>
          </w:p>
        </w:tc>
        <w:tc>
          <w:tcPr/>
          <w:p>
            <w:pPr>
              <w:pStyle w:val="Compact"/>
              <w:jc w:val="left"/>
            </w:pPr>
            <w:r>
              <w:t xml:space="preserve">Total Carbon (kg CO2e)</w:t>
            </w:r>
          </w:p>
        </w:tc>
      </w:tr>
      <w:tr>
        <w:tc>
          <w:tcPr/>
          <w:p>
            <w:pPr>
              <w:pStyle w:val="Compact"/>
              <w:jc w:val="left"/>
            </w:pPr>
            <w:r>
              <w:t xml:space="preserve">Raw Materials (Europe to China)</w:t>
            </w:r>
          </w:p>
        </w:tc>
        <w:tc>
          <w:tcPr/>
          <w:p>
            <w:pPr>
              <w:pStyle w:val="Compact"/>
              <w:jc w:val="left"/>
            </w:pPr>
            <w:r>
              <w:t xml:space="preserve">Select Mode (e.g., Ocean Vessel)</w:t>
            </w:r>
          </w:p>
        </w:tc>
        <w:tc>
          <w:tcPr/>
          <w:p>
            <w:pPr>
              <w:pStyle w:val="Compact"/>
              <w:jc w:val="left"/>
            </w:pPr>
            <w:r>
              <w:t xml:space="preserve">mlnjeojvhk (e.g., 18,000)</w:t>
            </w:r>
          </w:p>
        </w:tc>
        <w:tc>
          <w:tcPr/>
          <w:p>
            <w:pPr>
              <w:pStyle w:val="Compact"/>
              <w:jc w:val="left"/>
            </w:pPr>
            <w:r>
              <w:t xml:space="preserve">(Total BOM Weight) e.g., 3.0</w:t>
            </w:r>
          </w:p>
        </w:tc>
        <w:tc>
          <w:tcPr/>
          <w:p>
            <w:pPr>
              <w:pStyle w:val="Compact"/>
              <w:jc w:val="left"/>
            </w:pPr>
            <w:r>
              <w:t xml:space="preserve">0.010 (Ocean Avg)</w:t>
            </w:r>
          </w:p>
        </w:tc>
        <w:tc>
          <w:tcPr/>
          <w:p>
            <w:pPr>
              <w:pStyle w:val="Compact"/>
              <w:jc w:val="left"/>
            </w:pPr>
            <w:r>
              <w:t xml:space="preserve">(3.0 / 1000) * 18000 * 0.010 = 0.54</w:t>
            </w:r>
          </w:p>
        </w:tc>
      </w:tr>
      <w:tr>
        <w:tc>
          <w:tcPr/>
          <w:p>
            <w:pPr>
              <w:pStyle w:val="Compact"/>
              <w:jc w:val="left"/>
            </w:pPr>
            <w:r>
              <w:t xml:space="preserve">Finished Product (China to Europe)</w:t>
            </w:r>
          </w:p>
        </w:tc>
        <w:tc>
          <w:tcPr/>
          <w:p>
            <w:pPr>
              <w:pStyle w:val="Compact"/>
              <w:jc w:val="left"/>
            </w:pPr>
            <w:r>
              <w:t xml:space="preserve">Select Mode (e.g., Ocean Vessel)</w:t>
            </w:r>
          </w:p>
        </w:tc>
        <w:tc>
          <w:tcPr/>
          <w:p>
            <w:pPr>
              <w:pStyle w:val="Compact"/>
              <w:jc w:val="left"/>
            </w:pPr>
            <w:r>
              <w:t xml:space="preserve">mlnjeojvhk (e.g., 18,000)</w:t>
            </w:r>
          </w:p>
        </w:tc>
        <w:tc>
          <w:tcPr/>
          <w:p>
            <w:pPr>
              <w:pStyle w:val="Compact"/>
              <w:jc w:val="left"/>
            </w:pPr>
            <w:r>
              <w:t xml:space="preserve">(Product Weight) e.g., 2.7</w:t>
            </w:r>
          </w:p>
        </w:tc>
        <w:tc>
          <w:tcPr/>
          <w:p>
            <w:pPr>
              <w:pStyle w:val="Compact"/>
              <w:jc w:val="left"/>
            </w:pPr>
            <w:r>
              <w:t xml:space="preserve">0.010 (Ocean Avg)</w:t>
            </w:r>
          </w:p>
        </w:tc>
        <w:tc>
          <w:tcPr/>
          <w:p>
            <w:pPr>
              <w:pStyle w:val="Compact"/>
              <w:jc w:val="left"/>
            </w:pPr>
            <w:r>
              <w:t xml:space="preserve">(2.7 / 1000) * 18000 * 0.010 = 0.49</w:t>
            </w:r>
          </w:p>
        </w:tc>
      </w:tr>
      <w:tr>
        <w:tc>
          <w:tcPr/>
          <w:p>
            <w:pPr>
              <w:pStyle w:val="Compact"/>
              <w:jc w:val="left"/>
            </w:pPr>
            <w:r>
              <w:t xml:space="preserve">Last-Mile Delivery (Europe)</w:t>
            </w:r>
          </w:p>
        </w:tc>
        <w:tc>
          <w:tcPr/>
          <w:p>
            <w:pPr>
              <w:pStyle w:val="Compact"/>
              <w:jc w:val="left"/>
            </w:pPr>
            <w:r>
              <w:t xml:space="preserve">Delivery Type (e.g., Road Freight, Van)</w:t>
            </w:r>
          </w:p>
        </w:tc>
        <w:tc>
          <w:tcPr/>
          <w:p>
            <w:pPr>
              <w:pStyle w:val="Compact"/>
              <w:jc w:val="left"/>
            </w:pPr>
            <w:r>
              <w:t xml:space="preserve">200</w:t>
            </w:r>
          </w:p>
        </w:tc>
        <w:tc>
          <w:tcPr/>
          <w:p>
            <w:pPr>
              <w:pStyle w:val="Compact"/>
              <w:jc w:val="left"/>
            </w:pPr>
            <w:r>
              <w:t xml:space="preserve">2.7</w:t>
            </w:r>
          </w:p>
        </w:tc>
        <w:tc>
          <w:tcPr/>
          <w:p>
            <w:pPr>
              <w:pStyle w:val="Compact"/>
              <w:jc w:val="left"/>
            </w:pPr>
            <w:r>
              <w:t xml:space="preserve">0.090 (Van Avg)</w:t>
            </w:r>
          </w:p>
        </w:tc>
        <w:tc>
          <w:tcPr/>
          <w:p>
            <w:pPr>
              <w:pStyle w:val="Compact"/>
              <w:jc w:val="left"/>
            </w:pPr>
            <w:r>
              <w:t xml:space="preserve">(2.7 / 1000) * 200 * 0.090 = 0.049</w:t>
            </w:r>
          </w:p>
        </w:tc>
      </w:tr>
    </w:tbl>
    <w:p>
      <w:pPr>
        <w:pStyle w:val="BodyText"/>
      </w:pPr>
      <w:r>
        <w:rPr>
          <w:iCs/>
          <w:i/>
        </w:rPr>
        <w:t xml:space="preserve">Note: Emissions from upstream transportation of raw materials are Scope 3 Upstream. Emissions from transportation of sold products (to customer) are Scope 3 Downstream.</w:t>
      </w:r>
    </w:p>
    <w:bookmarkEnd w:id="31"/>
    <w:bookmarkEnd w:id="32"/>
    <w:bookmarkStart w:id="34" w:name="use-phase-scope-3-downstream"/>
    <w:p>
      <w:pPr>
        <w:pStyle w:val="Heading3"/>
      </w:pPr>
      <w:r>
        <w:t xml:space="preserve">Use Phase (Scope 3 Downstream)</w:t>
      </w:r>
    </w:p>
    <w:p>
      <w:pPr>
        <w:pStyle w:val="FirstParagraph"/>
      </w:pPr>
      <w:r>
        <w:t xml:space="preserve">This stage captures emissions occurring during the product\'s lifespan as used by the consumer.</w:t>
      </w:r>
    </w:p>
    <w:p>
      <w:pPr>
        <w:numPr>
          <w:ilvl w:val="0"/>
          <w:numId w:val="1005"/>
        </w:numPr>
        <w:pStyle w:val="Compact"/>
      </w:pPr>
      <w:r>
        <w:rPr>
          <w:bCs/>
          <w:b/>
        </w:rPr>
        <w:t xml:space="preserve">Product Lifespan:</w:t>
      </w:r>
      <w:r>
        <w:t xml:space="preserve"> </w:t>
      </w:r>
      <w:r>
        <w:t xml:space="preserve">\'jpjzjimkdq\' (e.g., in years).</w:t>
      </w:r>
    </w:p>
    <w:p>
      <w:pPr>
        <w:numPr>
          <w:ilvl w:val="0"/>
          <w:numId w:val="1005"/>
        </w:numPr>
        <w:pStyle w:val="Compact"/>
      </w:pPr>
      <w:r>
        <w:rPr>
          <w:bCs/>
          <w:b/>
        </w:rPr>
        <w:t xml:space="preserve">Energy Consumption in Use:</w:t>
      </w:r>
      <w:r>
        <w:t xml:space="preserve"> </w:t>
      </w:r>
      <w:r>
        <w:t xml:space="preserve">\'utqdtfziyv\' (e.g., kWh/year).</w:t>
      </w:r>
    </w:p>
    <w:bookmarkStart w:id="33" w:name="Xf36f7affc920b2f7210750392cb86e075449870"/>
    <w:p>
      <w:pPr>
        <w:pStyle w:val="Heading4"/>
      </w:pPr>
      <w:r>
        <w:t xml:space="preserve">Use Phase Energy Consumption - Illustrative Example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 Factor (kg CO2e/kWh)</w:t>
            </w:r>
          </w:p>
        </w:tc>
        <w:tc>
          <w:tcPr/>
          <w:p>
            <w:pPr>
              <w:pStyle w:val="Compact"/>
              <w:jc w:val="left"/>
            </w:pPr>
            <w:r>
              <w:t xml:space="preserve">Total Carbon (kg CO2e)</w:t>
            </w:r>
          </w:p>
        </w:tc>
      </w:tr>
      <w:tr>
        <w:tc>
          <w:tcPr/>
          <w:p>
            <w:pPr>
              <w:pStyle w:val="Compact"/>
              <w:jc w:val="left"/>
            </w:pPr>
            <w:r>
              <w:t xml:space="preserve">Product Lifespan</w:t>
            </w:r>
          </w:p>
        </w:tc>
        <w:tc>
          <w:tcPr/>
          <w:p>
            <w:pPr>
              <w:pStyle w:val="Compact"/>
              <w:jc w:val="left"/>
            </w:pPr>
            <w:r>
              <w:t xml:space="preserve">jpjzjimkdq (e.g., 5)</w:t>
            </w:r>
          </w:p>
        </w:tc>
        <w:tc>
          <w:tcPr/>
          <w:p>
            <w:pPr>
              <w:pStyle w:val="Compact"/>
              <w:jc w:val="left"/>
            </w:pPr>
            <w:r>
              <w:t xml:space="preserve">years</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Energy Consumption in Use (Annual)</w:t>
            </w:r>
          </w:p>
        </w:tc>
        <w:tc>
          <w:tcPr/>
          <w:p>
            <w:pPr>
              <w:pStyle w:val="Compact"/>
              <w:jc w:val="left"/>
            </w:pPr>
            <w:r>
              <w:t xml:space="preserve">utqdtfziyv (e.g., 10)</w:t>
            </w:r>
          </w:p>
        </w:tc>
        <w:tc>
          <w:tcPr/>
          <w:p>
            <w:pPr>
              <w:pStyle w:val="Compact"/>
              <w:jc w:val="left"/>
            </w:pPr>
            <w:r>
              <w:t xml:space="preserve">kWh/year</w:t>
            </w:r>
          </w:p>
        </w:tc>
        <w:tc>
          <w:tcPr/>
          <w:p>
            <w:pPr>
              <w:pStyle w:val="Compact"/>
              <w:jc w:val="left"/>
            </w:pPr>
            <w:r>
              <w:t xml:space="preserve">0.25 (EU Avg Electricity Mix)</w:t>
            </w:r>
          </w:p>
        </w:tc>
        <w:tc>
          <w:tcPr/>
          <w:p>
            <w:pPr>
              <w:pStyle w:val="Compact"/>
              <w:jc w:val="left"/>
            </w:pPr>
            <w:r>
              <w:t xml:space="preserve">10 kWh/year * 5 years * 0.25 kg CO2e/kWh = 12.50</w:t>
            </w:r>
          </w:p>
        </w:tc>
      </w:tr>
    </w:tbl>
    <w:bookmarkEnd w:id="33"/>
    <w:bookmarkEnd w:id="34"/>
    <w:bookmarkStart w:id="36" w:name="end-of-life-eol-scope-3-downstream"/>
    <w:p>
      <w:pPr>
        <w:pStyle w:val="Heading3"/>
      </w:pPr>
      <w:r>
        <w:t xml:space="preserve">End-of-Life (EoL) (Scope 3 Downstream)</w:t>
      </w:r>
    </w:p>
    <w:p>
      <w:pPr>
        <w:pStyle w:val="FirstParagraph"/>
      </w:pPr>
      <w:r>
        <w:t xml:space="preserve">This stage addresses emissions and potential removals associated with the product\'s disposal or recovery.</w:t>
      </w:r>
    </w:p>
    <w:p>
      <w:pPr>
        <w:numPr>
          <w:ilvl w:val="0"/>
          <w:numId w:val="1006"/>
        </w:numPr>
        <w:pStyle w:val="Compact"/>
      </w:pPr>
      <w:r>
        <w:rPr>
          <w:bCs/>
          <w:b/>
        </w:rPr>
        <w:t xml:space="preserve">Recyclability Percentage:</w:t>
      </w:r>
      <w:r>
        <w:t xml:space="preserve"> </w:t>
      </w:r>
      <w:r>
        <w:t xml:space="preserve">\'wtqiwfnwgp\' (e.g., percentage of materials recycled).</w:t>
      </w:r>
    </w:p>
    <w:p>
      <w:pPr>
        <w:numPr>
          <w:ilvl w:val="0"/>
          <w:numId w:val="1006"/>
        </w:numPr>
        <w:pStyle w:val="Compact"/>
      </w:pPr>
      <w:r>
        <w:rPr>
          <w:bCs/>
          <w:b/>
        </w:rPr>
        <w:t xml:space="preserve">Circular/Take-back Programs:</w:t>
      </w:r>
      <w:r>
        <w:t xml:space="preserve"> </w:t>
      </w:r>
      <w:r>
        <w:t xml:space="preserve">\'fwriksdhnk\' (e.g., existence of programs).</w:t>
      </w:r>
    </w:p>
    <w:bookmarkStart w:id="35" w:name="X91f1310becbb45e18656fc19287869ff2a8e399"/>
    <w:p>
      <w:pPr>
        <w:pStyle w:val="Heading4"/>
      </w:pPr>
      <w:r>
        <w:t xml:space="preserve">End-of-Life Scenario - Illustrative Example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Percentage (%)</w:t>
            </w:r>
          </w:p>
        </w:tc>
        <w:tc>
          <w:tcPr/>
          <w:p>
            <w:pPr>
              <w:pStyle w:val="Compact"/>
              <w:jc w:val="left"/>
            </w:pPr>
            <w:r>
              <w:t xml:space="preserve">Emission/Credit Factor (kg CO2e/kg)</w:t>
            </w:r>
          </w:p>
        </w:tc>
        <w:tc>
          <w:tcPr/>
          <w:p>
            <w:pPr>
              <w:pStyle w:val="Compact"/>
              <w:jc w:val="left"/>
            </w:pPr>
            <w:r>
              <w:t xml:space="preserve">Product Weight (kg)</w:t>
            </w:r>
          </w:p>
        </w:tc>
        <w:tc>
          <w:tcPr/>
          <w:p>
            <w:pPr>
              <w:pStyle w:val="Compact"/>
              <w:jc w:val="left"/>
            </w:pPr>
            <w:r>
              <w:t xml:space="preserve">Total Carbon (kg CO2e)</w:t>
            </w:r>
          </w:p>
        </w:tc>
      </w:tr>
      <w:tr>
        <w:tc>
          <w:tcPr/>
          <w:p>
            <w:pPr>
              <w:pStyle w:val="Compact"/>
              <w:jc w:val="left"/>
            </w:pPr>
            <w:r>
              <w:t xml:space="preserve">Recycled Materials</w:t>
            </w:r>
          </w:p>
        </w:tc>
        <w:tc>
          <w:tcPr/>
          <w:p>
            <w:pPr>
              <w:pStyle w:val="Compact"/>
              <w:jc w:val="left"/>
            </w:pPr>
            <w:r>
              <w:t xml:space="preserve">wtqiwfnwgp (e.g., 60%)</w:t>
            </w:r>
          </w:p>
        </w:tc>
        <w:tc>
          <w:tcPr/>
          <w:p>
            <w:pPr>
              <w:pStyle w:val="Compact"/>
              <w:jc w:val="left"/>
            </w:pPr>
            <w:r>
              <w:t xml:space="preserve">-1.0 (Recycling Credit for metal)</w:t>
            </w:r>
          </w:p>
        </w:tc>
        <w:tc>
          <w:tcPr/>
          <w:p>
            <w:pPr>
              <w:pStyle w:val="Compact"/>
              <w:jc w:val="left"/>
            </w:pPr>
            <w:r>
              <w:t xml:space="preserve">(Product Weight) e.g., 2.7</w:t>
            </w:r>
          </w:p>
        </w:tc>
        <w:tc>
          <w:tcPr/>
          <w:p>
            <w:pPr>
              <w:pStyle w:val="Compact"/>
              <w:jc w:val="left"/>
            </w:pPr>
            <w:r>
              <w:t xml:space="preserve">2.7 kg * 0.60 * -1.0 = -1.62</w:t>
            </w:r>
          </w:p>
        </w:tc>
      </w:tr>
      <w:tr>
        <w:tc>
          <w:tcPr/>
          <w:p>
            <w:pPr>
              <w:pStyle w:val="Compact"/>
              <w:jc w:val="left"/>
            </w:pPr>
            <w:r>
              <w:t xml:space="preserve">Landfilled Materials</w:t>
            </w:r>
          </w:p>
        </w:tc>
        <w:tc>
          <w:tcPr/>
          <w:p>
            <w:pPr>
              <w:pStyle w:val="Compact"/>
              <w:jc w:val="left"/>
            </w:pPr>
            <w:r>
              <w:t xml:space="preserve">(100% - 60% = 40%)</w:t>
            </w:r>
          </w:p>
        </w:tc>
        <w:tc>
          <w:tcPr/>
          <w:p>
            <w:pPr>
              <w:pStyle w:val="Compact"/>
              <w:jc w:val="left"/>
            </w:pPr>
            <w:r>
              <w:t xml:space="preserve">0.5 (Landfill Emission Factor)</w:t>
            </w:r>
          </w:p>
        </w:tc>
        <w:tc>
          <w:tcPr/>
          <w:p>
            <w:pPr>
              <w:pStyle w:val="Compact"/>
              <w:jc w:val="left"/>
            </w:pPr>
            <w:r>
              <w:t xml:space="preserve">2.7</w:t>
            </w:r>
          </w:p>
        </w:tc>
        <w:tc>
          <w:tcPr/>
          <w:p>
            <w:pPr>
              <w:pStyle w:val="Compact"/>
              <w:jc w:val="left"/>
            </w:pPr>
            <w:r>
              <w:t xml:space="preserve">2.7 kg * 0.40 * 0.5 = 0.54</w:t>
            </w:r>
          </w:p>
        </w:tc>
      </w:tr>
      <w:tr>
        <w:tc>
          <w:tcPr/>
          <w:p>
            <w:pPr>
              <w:pStyle w:val="Compact"/>
              <w:jc w:val="left"/>
            </w:pPr>
            <w:r>
              <w:t xml:space="preserve">Circular/Take-back Programs</w:t>
            </w:r>
          </w:p>
        </w:tc>
        <w:tc>
          <w:tcPr>
            <w:gridSpan w:val="4"/>
          </w:tcPr>
          <w:p>
            <w:pPr>
              <w:pStyle w:val="Compact"/>
              <w:jc w:val="left"/>
            </w:pPr>
            <w:r>
              <w:t xml:space="preserve">fwriksdhnk (e.g., "Company hmlvdgjrnr offers a product take-back program, reducing landfilling and enabling higher recycling rates.")</w:t>
            </w:r>
          </w:p>
        </w:tc>
      </w:tr>
    </w:tbl>
    <w:p>
      <w:r>
        <w:pict>
          <v:rect style="width:0;height:1.5pt" o:hralign="center" o:hrstd="t" o:hr="t"/>
        </w:pict>
      </w:r>
    </w:p>
    <w:bookmarkEnd w:id="35"/>
    <w:bookmarkEnd w:id="36"/>
    <w:bookmarkEnd w:id="37"/>
    <w:bookmarkStart w:id="41" w:name="data-collection-and-emission-calculation"/>
    <w:p>
      <w:pPr>
        <w:pStyle w:val="Heading2"/>
      </w:pPr>
      <w:r>
        <w:t xml:space="preserve">3. Data Collection and Emission Calculation</w:t>
      </w:r>
    </w:p>
    <w:p>
      <w:pPr>
        <w:pStyle w:val="FirstParagraph"/>
      </w:pPr>
      <w:r>
        <w:t xml:space="preserve">Emission calculations are performed by multiplying activity data (e.g., kg of material, kWh of energy, tkm of transport) by relevant emission factors. Industry-standard emission factors are sourced from reputable databases such as Ecoinvent and DEFRA (Department for Environment, Food &amp; Rural Affairs), converted to kg CO2e for consistency. These databases provide values for various materials, energy sources, and transportation modes, accounting for the global warming potential (GWP) of multiple GHGs (CO2, CH4, N2O, HFCs, PFCs, SF6, NF3).</w:t>
      </w:r>
    </w:p>
    <w:bookmarkStart w:id="38" w:name="Xbeacb08a87686ef78764d789c3f67d555004e75"/>
    <w:p>
      <w:pPr>
        <w:pStyle w:val="Heading3"/>
      </w:pPr>
      <w:r>
        <w:t xml:space="preserve">Estimated Product Carbon Footprint by Scope and Lifecycle Stage - Illustrative Example</w:t>
      </w:r>
    </w:p>
    <w:p>
      <w:pPr>
        <w:pStyle w:val="FirstParagraph"/>
      </w:pPr>
      <w:r>
        <w:t xml:space="preserve">Below is a summary of the conceptual PCF for 1.0 unit of nnqonydqtu, segmented by GHG Protocol Scopes and lifecycle stages. This table combines the illustrative calculations from the previous section.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Carbon (kg CO2e/unit)</w:t>
            </w:r>
          </w:p>
        </w:tc>
      </w:tr>
      <w:tr>
        <w:tc>
          <w:tcPr/>
          <w:p>
            <w:pPr>
              <w:pStyle w:val="Compact"/>
              <w:jc w:val="left"/>
            </w:pPr>
            <w:r>
              <w:rPr>
                <w:bCs/>
                <w:b/>
              </w:rPr>
              <w:t xml:space="preserve">Raw Material Acquisition</w:t>
            </w:r>
          </w:p>
        </w:tc>
        <w:tc>
          <w:tcPr/>
          <w:p>
            <w:pPr>
              <w:pStyle w:val="Compact"/>
              <w:jc w:val="left"/>
            </w:pPr>
            <w:r>
              <w:t xml:space="preserve">Scope 3 Upstream</w:t>
            </w:r>
          </w:p>
        </w:tc>
        <w:tc>
          <w:tcPr/>
          <w:p>
            <w:pPr>
              <w:pStyle w:val="Compact"/>
              <w:jc w:val="left"/>
            </w:pPr>
            <w:r>
              <w:t xml:space="preserve">20.42</w:t>
            </w:r>
          </w:p>
        </w:tc>
      </w:tr>
      <w:tr>
        <w:tc>
          <w:tcPr/>
          <w:p>
            <w:pPr>
              <w:pStyle w:val="Compact"/>
              <w:jc w:val="left"/>
            </w:pPr>
            <w:r>
              <w:t xml:space="preserve">Aluminium Alloy (M-001)</w:t>
            </w:r>
          </w:p>
        </w:tc>
        <w:tc>
          <w:tcPr/>
          <w:p>
            <w:pPr>
              <w:pStyle w:val="Compact"/>
            </w:pPr>
          </w:p>
        </w:tc>
        <w:tc>
          <w:tcPr/>
          <w:p>
            <w:pPr>
              <w:pStyle w:val="Compact"/>
              <w:jc w:val="left"/>
            </w:pPr>
            <w:r>
              <w:t xml:space="preserve">11.25</w:t>
            </w:r>
          </w:p>
        </w:tc>
      </w:tr>
      <w:tr>
        <w:tc>
          <w:tcPr/>
          <w:p>
            <w:pPr>
              <w:pStyle w:val="Compact"/>
              <w:jc w:val="left"/>
            </w:pPr>
            <w:r>
              <w:t xml:space="preserve">Polypropylene (M-002)</w:t>
            </w:r>
          </w:p>
        </w:tc>
        <w:tc>
          <w:tcPr/>
          <w:p>
            <w:pPr>
              <w:pStyle w:val="Compact"/>
            </w:pPr>
          </w:p>
        </w:tc>
        <w:tc>
          <w:tcPr/>
          <w:p>
            <w:pPr>
              <w:pStyle w:val="Compact"/>
              <w:jc w:val="left"/>
            </w:pPr>
            <w:r>
              <w:t xml:space="preserve">1.60</w:t>
            </w:r>
          </w:p>
        </w:tc>
      </w:tr>
      <w:tr>
        <w:tc>
          <w:tcPr/>
          <w:p>
            <w:pPr>
              <w:pStyle w:val="Compact"/>
              <w:jc w:val="left"/>
            </w:pPr>
            <w:r>
              <w:t xml:space="preserve">Silicon Wafer (M-003)</w:t>
            </w:r>
          </w:p>
        </w:tc>
        <w:tc>
          <w:tcPr/>
          <w:p>
            <w:pPr>
              <w:pStyle w:val="Compact"/>
            </w:pPr>
          </w:p>
        </w:tc>
        <w:tc>
          <w:tcPr/>
          <w:p>
            <w:pPr>
              <w:pStyle w:val="Compact"/>
              <w:jc w:val="left"/>
            </w:pPr>
            <w:r>
              <w:t xml:space="preserve">5.00</w:t>
            </w:r>
          </w:p>
        </w:tc>
      </w:tr>
      <w:tr>
        <w:tc>
          <w:tcPr/>
          <w:p>
            <w:pPr>
              <w:pStyle w:val="Compact"/>
              <w:jc w:val="left"/>
            </w:pPr>
            <w:r>
              <w:t xml:space="preserve">Copper Wiring (M-004)</w:t>
            </w:r>
          </w:p>
        </w:tc>
        <w:tc>
          <w:tcPr/>
          <w:p>
            <w:pPr>
              <w:pStyle w:val="Compact"/>
            </w:pPr>
          </w:p>
        </w:tc>
        <w:tc>
          <w:tcPr/>
          <w:p>
            <w:pPr>
              <w:pStyle w:val="Compact"/>
              <w:jc w:val="left"/>
            </w:pPr>
            <w:r>
              <w:t xml:space="preserve">0.80</w:t>
            </w:r>
          </w:p>
        </w:tc>
      </w:tr>
      <w:tr>
        <w:tc>
          <w:tcPr/>
          <w:p>
            <w:pPr>
              <w:pStyle w:val="Compact"/>
              <w:jc w:val="left"/>
            </w:pPr>
            <w:r>
              <w:t xml:space="preserve">Packaging Cardboard (M-005)</w:t>
            </w:r>
          </w:p>
        </w:tc>
        <w:tc>
          <w:tcPr/>
          <w:p>
            <w:pPr>
              <w:pStyle w:val="Compact"/>
            </w:pPr>
          </w:p>
        </w:tc>
        <w:tc>
          <w:tcPr/>
          <w:p>
            <w:pPr>
              <w:pStyle w:val="Compact"/>
              <w:jc w:val="left"/>
            </w:pPr>
            <w:r>
              <w:t xml:space="preserve">0.27</w:t>
            </w:r>
          </w:p>
        </w:tc>
      </w:tr>
      <w:tr>
        <w:tc>
          <w:tcPr/>
          <w:p>
            <w:pPr>
              <w:pStyle w:val="Compact"/>
              <w:jc w:val="left"/>
            </w:pPr>
            <w:r>
              <w:t xml:space="preserve">Electronic Components (M-006)</w:t>
            </w:r>
          </w:p>
        </w:tc>
        <w:tc>
          <w:tcPr/>
          <w:p>
            <w:pPr>
              <w:pStyle w:val="Compact"/>
            </w:pPr>
          </w:p>
        </w:tc>
        <w:tc>
          <w:tcPr/>
          <w:p>
            <w:pPr>
              <w:pStyle w:val="Compact"/>
              <w:jc w:val="left"/>
            </w:pPr>
            <w:r>
              <w:t xml:space="preserve">1.50</w:t>
            </w:r>
          </w:p>
        </w:tc>
      </w:tr>
      <w:tr>
        <w:tc>
          <w:tcPr/>
          <w:p>
            <w:pPr>
              <w:pStyle w:val="Compact"/>
              <w:jc w:val="left"/>
            </w:pPr>
            <w:r>
              <w:rPr>
                <w:bCs/>
                <w:b/>
              </w:rPr>
              <w:t xml:space="preserve">Manufacturing</w:t>
            </w:r>
          </w:p>
        </w:tc>
        <w:tc>
          <w:tcPr/>
          <w:p>
            <w:pPr>
              <w:pStyle w:val="Compact"/>
              <w:jc w:val="left"/>
            </w:pPr>
            <w:r>
              <w:t xml:space="preserve">Scope 1, 2, 3 Upstream</w:t>
            </w:r>
          </w:p>
        </w:tc>
        <w:tc>
          <w:tcPr/>
          <w:p>
            <w:pPr>
              <w:pStyle w:val="Compact"/>
              <w:jc w:val="left"/>
            </w:pPr>
            <w:r>
              <w:t xml:space="preserve">2.24</w:t>
            </w:r>
          </w:p>
        </w:tc>
      </w:tr>
      <w:tr>
        <w:tc>
          <w:tcPr/>
          <w:p>
            <w:pPr>
              <w:pStyle w:val="Compact"/>
              <w:jc w:val="left"/>
            </w:pPr>
            <w:r>
              <w:t xml:space="preserve">Purchased Electricity (Scope 2)</w:t>
            </w:r>
          </w:p>
        </w:tc>
        <w:tc>
          <w:tcPr/>
          <w:p>
            <w:pPr>
              <w:pStyle w:val="Compact"/>
            </w:pPr>
          </w:p>
        </w:tc>
        <w:tc>
          <w:tcPr/>
          <w:p>
            <w:pPr>
              <w:pStyle w:val="Compact"/>
              <w:jc w:val="left"/>
            </w:pPr>
            <w:r>
              <w:t xml:space="preserve">2.14</w:t>
            </w:r>
          </w:p>
        </w:tc>
      </w:tr>
      <w:tr>
        <w:tc>
          <w:tcPr/>
          <w:p>
            <w:pPr>
              <w:pStyle w:val="Compact"/>
              <w:jc w:val="left"/>
            </w:pPr>
            <w:r>
              <w:t xml:space="preserve">Direct Natural Gas (Scope 1)</w:t>
            </w:r>
          </w:p>
        </w:tc>
        <w:tc>
          <w:tcPr/>
          <w:p>
            <w:pPr>
              <w:pStyle w:val="Compact"/>
            </w:pPr>
          </w:p>
        </w:tc>
        <w:tc>
          <w:tcPr/>
          <w:p>
            <w:pPr>
              <w:pStyle w:val="Compact"/>
              <w:jc w:val="left"/>
            </w:pPr>
            <w:r>
              <w:t xml:space="preserve">0.10</w:t>
            </w:r>
          </w:p>
        </w:tc>
      </w:tr>
      <w:tr>
        <w:tc>
          <w:tcPr/>
          <w:p>
            <w:pPr>
              <w:pStyle w:val="Compact"/>
              <w:jc w:val="left"/>
            </w:pPr>
            <w:r>
              <w:rPr>
                <w:bCs/>
                <w:b/>
              </w:rPr>
              <w:t xml:space="preserve">Transportation (Upstream)</w:t>
            </w:r>
          </w:p>
        </w:tc>
        <w:tc>
          <w:tcPr/>
          <w:p>
            <w:pPr>
              <w:pStyle w:val="Compact"/>
              <w:jc w:val="left"/>
            </w:pPr>
            <w:r>
              <w:t xml:space="preserve">Scope 3 Upstream</w:t>
            </w:r>
          </w:p>
        </w:tc>
        <w:tc>
          <w:tcPr/>
          <w:p>
            <w:pPr>
              <w:pStyle w:val="Compact"/>
              <w:jc w:val="left"/>
            </w:pPr>
            <w:r>
              <w:t xml:space="preserve">0.54</w:t>
            </w:r>
          </w:p>
        </w:tc>
      </w:tr>
      <w:tr>
        <w:tc>
          <w:tcPr/>
          <w:p>
            <w:pPr>
              <w:pStyle w:val="Compact"/>
              <w:jc w:val="left"/>
            </w:pPr>
            <w:r>
              <w:t xml:space="preserve">Raw Materials (Europe to China)</w:t>
            </w:r>
          </w:p>
        </w:tc>
        <w:tc>
          <w:tcPr/>
          <w:p>
            <w:pPr>
              <w:pStyle w:val="Compact"/>
            </w:pPr>
          </w:p>
        </w:tc>
        <w:tc>
          <w:tcPr/>
          <w:p>
            <w:pPr>
              <w:pStyle w:val="Compact"/>
              <w:jc w:val="left"/>
            </w:pPr>
            <w:r>
              <w:t xml:space="preserve">0.54</w:t>
            </w:r>
          </w:p>
        </w:tc>
      </w:tr>
      <w:tr>
        <w:tc>
          <w:tcPr/>
          <w:p>
            <w:pPr>
              <w:pStyle w:val="Compact"/>
              <w:jc w:val="left"/>
            </w:pPr>
            <w:r>
              <w:rPr>
                <w:bCs/>
                <w:b/>
              </w:rPr>
              <w:t xml:space="preserve">Transportation (Downstream)</w:t>
            </w:r>
          </w:p>
        </w:tc>
        <w:tc>
          <w:tcPr/>
          <w:p>
            <w:pPr>
              <w:pStyle w:val="Compact"/>
              <w:jc w:val="left"/>
            </w:pPr>
            <w:r>
              <w:t xml:space="preserve">Scope 3 Downstream</w:t>
            </w:r>
          </w:p>
        </w:tc>
        <w:tc>
          <w:tcPr/>
          <w:p>
            <w:pPr>
              <w:pStyle w:val="Compact"/>
              <w:jc w:val="left"/>
            </w:pPr>
            <w:r>
              <w:t xml:space="preserve">0.54</w:t>
            </w:r>
          </w:p>
        </w:tc>
      </w:tr>
      <w:tr>
        <w:tc>
          <w:tcPr/>
          <w:p>
            <w:pPr>
              <w:pStyle w:val="Compact"/>
              <w:jc w:val="left"/>
            </w:pPr>
            <w:r>
              <w:t xml:space="preserve">Finished Product (China to Europe)</w:t>
            </w:r>
          </w:p>
        </w:tc>
        <w:tc>
          <w:tcPr/>
          <w:p>
            <w:pPr>
              <w:pStyle w:val="Compact"/>
            </w:pPr>
          </w:p>
        </w:tc>
        <w:tc>
          <w:tcPr/>
          <w:p>
            <w:pPr>
              <w:pStyle w:val="Compact"/>
              <w:jc w:val="left"/>
            </w:pPr>
            <w:r>
              <w:t xml:space="preserve">0.49</w:t>
            </w:r>
          </w:p>
        </w:tc>
      </w:tr>
      <w:tr>
        <w:tc>
          <w:tcPr/>
          <w:p>
            <w:pPr>
              <w:pStyle w:val="Compact"/>
              <w:jc w:val="left"/>
            </w:pPr>
            <w:r>
              <w:t xml:space="preserve">Last-Mile Delivery (Europe)</w:t>
            </w:r>
          </w:p>
        </w:tc>
        <w:tc>
          <w:tcPr/>
          <w:p>
            <w:pPr>
              <w:pStyle w:val="Compact"/>
            </w:pPr>
          </w:p>
        </w:tc>
        <w:tc>
          <w:tcPr/>
          <w:p>
            <w:pPr>
              <w:pStyle w:val="Compact"/>
              <w:jc w:val="left"/>
            </w:pPr>
            <w:r>
              <w:t xml:space="preserve">0.049</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Energy Consumption in Use</w:t>
            </w:r>
          </w:p>
        </w:tc>
        <w:tc>
          <w:tcPr/>
          <w:p>
            <w:pPr>
              <w:pStyle w:val="Compact"/>
            </w:pPr>
          </w:p>
        </w:tc>
        <w:tc>
          <w:tcPr/>
          <w:p>
            <w:pPr>
              <w:pStyle w:val="Compact"/>
              <w:jc w:val="left"/>
            </w:pPr>
            <w:r>
              <w:t xml:space="preserve">12.50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-1.08</w:t>
            </w:r>
          </w:p>
        </w:tc>
      </w:tr>
      <w:tr>
        <w:tc>
          <w:tcPr/>
          <w:p>
            <w:pPr>
              <w:pStyle w:val="Compact"/>
              <w:jc w:val="left"/>
            </w:pPr>
            <w:r>
              <w:t xml:space="preserve">Recycling Credit</w:t>
            </w:r>
          </w:p>
        </w:tc>
        <w:tc>
          <w:tcPr/>
          <w:p>
            <w:pPr>
              <w:pStyle w:val="Compact"/>
            </w:pPr>
          </w:p>
        </w:tc>
        <w:tc>
          <w:tcPr/>
          <w:p>
            <w:pPr>
              <w:pStyle w:val="Compact"/>
              <w:jc w:val="left"/>
            </w:pPr>
            <w:r>
              <w:t xml:space="preserve">-1.62</w:t>
            </w:r>
          </w:p>
        </w:tc>
      </w:tr>
      <w:tr>
        <w:tc>
          <w:tcPr/>
          <w:p>
            <w:pPr>
              <w:pStyle w:val="Compact"/>
              <w:jc w:val="left"/>
            </w:pPr>
            <w:r>
              <w:t xml:space="preserve">Landfilled Materials</w:t>
            </w:r>
          </w:p>
        </w:tc>
        <w:tc>
          <w:tcPr/>
          <w:p>
            <w:pPr>
              <w:pStyle w:val="Compact"/>
            </w:pPr>
          </w:p>
        </w:tc>
        <w:tc>
          <w:tcPr/>
          <w:p>
            <w:pPr>
              <w:pStyle w:val="Compact"/>
              <w:jc w:val="left"/>
            </w:pPr>
            <w:r>
              <w:t xml:space="preserve">0.54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35.16 kg CO2e/unit</w:t>
            </w:r>
          </w:p>
        </w:tc>
      </w:tr>
    </w:tbl>
    <w:bookmarkEnd w:id="38"/>
    <w:bookmarkStart w:id="39" w:name="application-of-2026-lsr-update"/>
    <w:p>
      <w:pPr>
        <w:pStyle w:val="Heading3"/>
      </w:pPr>
      <w:r>
        <w:t xml:space="preserve">Application of 2026 LSR Update</w:t>
      </w:r>
    </w:p>
    <w:p>
      <w:pPr>
        <w:pStyle w:val="FirstParagraph"/>
      </w:pPr>
      <w:r>
        <w:t xml:space="preserve">Given the nature of nnqonydqtu (likely an electronic or manufactured good based on BOM), the direct application of the LSR Standard would primarily manifest in the upstream Scope 3 emissions. If any raw materials, such as specific agricultural products, bio-based materials, or packaging derived from forestry, are part of the value chain, their land use change and land management emissions or removals would be specifically quantified and reported. For instance, if hmlvdgjrnr sources wood-fiber for packaging, the LSR Standard would guide the accounting of emissions/removals associated with the land where the wood was harvested. Additionally, any carbon removals (e.g., through carbon capture technologies or specific land management practices) within the company\'s direct operations (Scope 1) or its value chain (Scope 3) would be accounted for and reported separately to provide a more complete picture of climate impact.</w:t>
      </w:r>
    </w:p>
    <w:bookmarkEnd w:id="39"/>
    <w:bookmarkStart w:id="40" w:name="scope-3-compliance-1"/>
    <w:p>
      <w:pPr>
        <w:pStyle w:val="Heading3"/>
      </w:pPr>
      <w:r>
        <w:t xml:space="preserve">Scope 3 Compliance</w:t>
      </w:r>
    </w:p>
    <w:p>
      <w:pPr>
        <w:pStyle w:val="FirstParagraph"/>
      </w:pPr>
      <w:r>
        <w:t xml:space="preserve">The comprehensive breakdown of upstream and downstream activities in this report, including raw materials, manufacturing waste, transportation, product use, and end-of-life, demonstrates the commitment to achieving the 95% Scope 3 coverage requirement. This level of detail, even with illustrative data, highlights the numerous categories under Scope 3 that need to be addressed. Achieving actual 95% coverage necessitates rigorous data collection from all relevant suppliers and downstream partners, potentially involving surveys, supplier engagement programs, and detailed activity data tracking across the entire value chain.</w:t>
      </w:r>
    </w:p>
    <w:p>
      <w:r>
        <w:pict>
          <v:rect style="width:0;height:1.5pt" o:hralign="center" o:hrstd="t" o:hr="t"/>
        </w:pict>
      </w:r>
    </w:p>
    <w:bookmarkEnd w:id="40"/>
    <w:bookmarkEnd w:id="41"/>
    <w:bookmarkStart w:id="46" w:name="review-report"/>
    <w:p>
      <w:pPr>
        <w:pStyle w:val="Heading2"/>
      </w:pPr>
      <w:r>
        <w:t xml:space="preserve">4. Review &amp; Report</w:t>
      </w:r>
    </w:p>
    <w:bookmarkStart w:id="42" w:name="product-carbon-footprint-summary"/>
    <w:p>
      <w:pPr>
        <w:pStyle w:val="Heading3"/>
      </w:pPr>
      <w:r>
        <w:t xml:space="preserve">Product Carbon Footprint Summary</w:t>
      </w:r>
    </w:p>
    <w:p>
      <w:pPr>
        <w:pStyle w:val="FirstParagraph"/>
      </w:pPr>
      <w:r>
        <w:t xml:space="preserve">Based on the illustrative high-detail analysis for 1.0 unit of nnqonydqtu, the estimated Product Carbon Footprint is</w:t>
      </w:r>
      <w:r>
        <w:t xml:space="preserve"> </w:t>
      </w:r>
      <w:r>
        <w:rPr>
          <w:bCs/>
          <w:b/>
        </w:rPr>
        <w:t xml:space="preserve">35.16 kg CO2e/unit</w:t>
      </w:r>
      <w:r>
        <w:t xml:space="preserve">.</w:t>
      </w:r>
    </w:p>
    <w:bookmarkEnd w:id="42"/>
    <w:bookmarkStart w:id="43" w:name="hotspots-identification"/>
    <w:p>
      <w:pPr>
        <w:pStyle w:val="Heading3"/>
      </w:pPr>
      <w:r>
        <w:t xml:space="preserve">Hotspots Identification</w:t>
      </w:r>
    </w:p>
    <w:p>
      <w:pPr>
        <w:pStyle w:val="FirstParagraph"/>
      </w:pPr>
      <w:r>
        <w:t xml:space="preserve">From this conceptual analysis, key emission hotspots for nnqonydqtu appear to be:</w:t>
      </w:r>
    </w:p>
    <w:p>
      <w:pPr>
        <w:numPr>
          <w:ilvl w:val="0"/>
          <w:numId w:val="1007"/>
        </w:numPr>
        <w:pStyle w:val="Compact"/>
      </w:pPr>
      <w:r>
        <w:rPr>
          <w:bCs/>
          <w:b/>
        </w:rPr>
        <w:t xml:space="preserve">Raw Material Acquisition (Scope 3 Upstream):</w:t>
      </w:r>
      <w:r>
        <w:t xml:space="preserve"> </w:t>
      </w:r>
      <w:r>
        <w:t xml:space="preserve">This stage is the largest contributor, particularly due to materials like Aluminium Alloy and Silicon Wafer, which are typically energy-intensive to produce.</w:t>
      </w:r>
    </w:p>
    <w:p>
      <w:pPr>
        <w:numPr>
          <w:ilvl w:val="0"/>
          <w:numId w:val="1007"/>
        </w:numPr>
        <w:pStyle w:val="Compact"/>
      </w:pPr>
      <w:r>
        <w:rPr>
          <w:bCs/>
          <w:b/>
        </w:rPr>
        <w:t xml:space="preserve">Use Phase (Scope 3 Downstream):</w:t>
      </w:r>
      <w:r>
        <w:t xml:space="preserve"> </w:t>
      </w:r>
      <w:r>
        <w:t xml:space="preserve">The energy consumption during the product\'s lifespan significantly contributes to the overall footprint, emphasizing the importance of energy efficiency.</w:t>
      </w:r>
    </w:p>
    <w:p>
      <w:pPr>
        <w:numPr>
          <w:ilvl w:val="0"/>
          <w:numId w:val="1007"/>
        </w:numPr>
        <w:pStyle w:val="Compact"/>
      </w:pPr>
      <w:r>
        <w:rPr>
          <w:bCs/>
          <w:b/>
        </w:rPr>
        <w:t xml:space="preserve">Manufacturing (Scope 2):</w:t>
      </w:r>
      <w:r>
        <w:t xml:space="preserve"> </w:t>
      </w:r>
      <w:r>
        <w:t xml:space="preserve">Purchased electricity for manufacturing in China, even with an illustrative renewable energy mix, remains a notable contributor.</w:t>
      </w:r>
    </w:p>
    <w:bookmarkEnd w:id="43"/>
    <w:bookmarkStart w:id="44" w:name="recommendations-for-ghg-reduction"/>
    <w:p>
      <w:pPr>
        <w:pStyle w:val="Heading3"/>
      </w:pPr>
      <w:r>
        <w:t xml:space="preserve">Recommendations for GHG Reduction</w:t>
      </w:r>
    </w:p>
    <w:p>
      <w:pPr>
        <w:numPr>
          <w:ilvl w:val="0"/>
          <w:numId w:val="1008"/>
        </w:numPr>
        <w:pStyle w:val="Compact"/>
      </w:pPr>
      <w:r>
        <w:rPr>
          <w:bCs/>
          <w:b/>
        </w:rPr>
        <w:t xml:space="preserve">Material Optimization:</w:t>
      </w:r>
      <w:r>
        <w:t xml:space="preserve"> </w:t>
      </w:r>
      <w:r>
        <w:t xml:space="preserve">Investigate opportunities for material substitution with lower carbon alternatives, increased recycled content in Aluminium and Plastics, and design for disassembly to facilitate higher recycling rates.</w:t>
      </w:r>
    </w:p>
    <w:p>
      <w:pPr>
        <w:numPr>
          <w:ilvl w:val="0"/>
          <w:numId w:val="1008"/>
        </w:numPr>
        <w:pStyle w:val="Compact"/>
      </w:pPr>
      <w:r>
        <w:rPr>
          <w:bCs/>
          <w:b/>
        </w:rPr>
        <w:t xml:space="preserve">Renewable Energy Sourcing:</w:t>
      </w:r>
      <w:r>
        <w:t xml:space="preserve"> </w:t>
      </w:r>
      <w:r>
        <w:t xml:space="preserve">Increase the proportion of renewable energy used in manufacturing facilities and encourage suppliers to do the same. Explore options for virtual power purchase agreements or direct investment in renewable energy projects in key manufacturing regions.</w:t>
      </w:r>
    </w:p>
    <w:p>
      <w:pPr>
        <w:numPr>
          <w:ilvl w:val="0"/>
          <w:numId w:val="1008"/>
        </w:numPr>
        <w:pStyle w:val="Compact"/>
      </w:pPr>
      <w:r>
        <w:rPr>
          <w:bCs/>
          <w:b/>
        </w:rPr>
        <w:t xml:space="preserve">Energy Efficiency in Use:</w:t>
      </w:r>
      <w:r>
        <w:t xml:space="preserve"> </w:t>
      </w:r>
      <w:r>
        <w:t xml:space="preserve">Focus product design on reducing energy consumption during the use phase. This could involve optimizing power management, using more efficient components, or extending product lifespan to amortize initial production emissions over a longer period.</w:t>
      </w:r>
    </w:p>
    <w:p>
      <w:pPr>
        <w:numPr>
          <w:ilvl w:val="0"/>
          <w:numId w:val="1008"/>
        </w:numPr>
        <w:pStyle w:val="Compact"/>
      </w:pPr>
      <w:r>
        <w:rPr>
          <w:bCs/>
          <w:b/>
        </w:rPr>
        <w:t xml:space="preserve">Logistics Optimization:</w:t>
      </w:r>
      <w:r>
        <w:t xml:space="preserve"> </w:t>
      </w:r>
      <w:r>
        <w:t xml:space="preserve">Optimize transportation routes, explore more carbon-efficient modes (e.g., rail over road for European logistics), and consolidate shipments to reduce freight emissions.</w:t>
      </w:r>
    </w:p>
    <w:p>
      <w:pPr>
        <w:numPr>
          <w:ilvl w:val="0"/>
          <w:numId w:val="1008"/>
        </w:numPr>
        <w:pStyle w:val="Compact"/>
      </w:pPr>
      <w:r>
        <w:rPr>
          <w:bCs/>
          <w:b/>
        </w:rPr>
        <w:t xml:space="preserve">Enhance Circularity:</w:t>
      </w:r>
      <w:r>
        <w:t xml:space="preserve"> </w:t>
      </w:r>
      <w:r>
        <w:t xml:space="preserve">Strengthen existing circular/take-back programs (\'fwriksdhnk\') to capture more end-of-life products, maximizing material recovery and minimizing waste sent to landfill. Explore innovative business models that support product-as-a-service or closed-loop systems.</w:t>
      </w:r>
    </w:p>
    <w:p>
      <w:pPr>
        <w:numPr>
          <w:ilvl w:val="0"/>
          <w:numId w:val="1008"/>
        </w:numPr>
        <w:pStyle w:val="Compact"/>
      </w:pPr>
      <w:r>
        <w:rPr>
          <w:bCs/>
          <w:b/>
        </w:rPr>
        <w:t xml:space="preserve">Supplier Engagement:</w:t>
      </w:r>
      <w:r>
        <w:t xml:space="preserve"> </w:t>
      </w:r>
      <w:r>
        <w:t xml:space="preserve">Collaborate closely with raw material suppliers to obtain primary data, encourage their GHG reduction initiatives, and explore opportunities for joint innovation in sustainable materials and processes.</w:t>
      </w:r>
    </w:p>
    <w:bookmarkEnd w:id="44"/>
    <w:bookmarkStart w:id="45" w:name="data-reliability-and-limitations"/>
    <w:p>
      <w:pPr>
        <w:pStyle w:val="Heading3"/>
      </w:pPr>
      <w:r>
        <w:t xml:space="preserve">Data Reliability and Limitations</w:t>
      </w:r>
    </w:p>
    <w:p>
      <w:pPr>
        <w:pStyle w:val="FirstParagraph"/>
      </w:pPr>
      <w:r>
        <w:t xml:space="preserve">This report provides a framework and illustrative calculations based on the specified parameters. The accuracy of the calculated PCF is directly dependent on the quality and specificity of the input data. As several key parameters (`figvnjyq`, `Select Mode`, `mlnjeojvhk`, `Delivery Type`, `iirlwqosgd`, `dvesstxndx`, `jpjzjimkdq`, `utqdtfziyv`, `wtqiwfnwgp`, `fwriksdhnk`) were provided as placeholders, generic or estimated emission factors from Ecoinvent and DEFRA have been used. For a more robust and auditable PCF, it is critical to replace these placeholders with hmlvdgjrnr\'s specific primary data, including actual bills of materials, detailed energy consumption records, precise transportation logs, and verified end-of-life processing data. Continual improvement in data collection and refinement of emission factors will enhance the reliability and actionable insights from future PCF analyses.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nnqonydqtu</dc:title>
  <dc:creator/>
  <dc:description>High-detail Product Carbon Footprint (PCF) analysis report for product nnqonydqtu by hmlvdgjrnr, prepared by Senior Sustainability Consultant sgjqnqqupq, adhering to GHG Protocol and 2026 LSR update.</dc:description>
  <dc:language>en</dc:language>
  <cp:keywords/>
  <dcterms:created xsi:type="dcterms:W3CDTF">2026-07-15T05:31:58Z</dcterms:created>
  <dcterms:modified xsi:type="dcterms:W3CDTF">2026-07-15T05:31:58Z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