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nhhqlzuhli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nhhqlzuhli</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kixpvlmnky</w:t>
      </w:r>
    </w:p>
    <w:p>
      <w:pPr>
        <w:pStyle w:val="BodyText"/>
      </w:pPr>
      <w:r>
        <w:rPr>
          <w:bCs/>
          <w:b/>
        </w:rPr>
        <w:t xml:space="preserve">Senior Sustainability Consultant:</w:t>
      </w:r>
      <w:r>
        <w:t xml:space="preserve"> </w:t>
      </w:r>
      <w:r>
        <w:t xml:space="preserve">tygedzlrih</w:t>
      </w:r>
    </w:p>
    <w:p>
      <w:pPr>
        <w:pStyle w:val="BodyText"/>
      </w:pPr>
      <w:r>
        <w:t xml:space="preserve">This report is generated based on available data and industry standards. While efforts have been made to ensure accuracy, the results are indicative and subject to the quality and completeness of input data.</w:t>
      </w:r>
    </w:p>
    <w:bookmarkEnd w:id="20"/>
    <w:bookmarkStart w:id="21" w:name="X45cccc8ea1a323e4861cd383954db0282f527d2"/>
    <w:p>
      <w:pPr>
        <w:pStyle w:val="Heading1"/>
      </w:pPr>
      <w:r>
        <w:t xml:space="preserve">Product Carbon Footprint (PCF) Analysis Report for nhhqlzuhli</w:t>
      </w:r>
    </w:p>
    <w:p>
      <w:pPr>
        <w:pStyle w:val="FirstParagraph"/>
      </w:pPr>
      <w:r>
        <w:t xml:space="preserve">Generated Date: May 17, 2026</w:t>
      </w:r>
    </w:p>
    <w:p>
      <w:pPr>
        <w:pStyle w:val="BodyText"/>
      </w:pPr>
      <w:r>
        <w:t xml:space="preserve">Prepared by: tygedzlrih,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nhhqlzuhli, manufactured by kixpvlmnky. The analysis adheres strictly to the Greenhouse Gas (GHG) Protocol standards, incorporating the latest 2026 Land Sector and Removals (LSR) update and striving for 95% Scope 3 coverage. As tygedzlrih, Senior Sustainability Consultant, this assessment provides a comprehensive overview of greenhouse gas emissions across the product\'s lifecycle, from material acquisition to end-of-life. The total calculated Product Carbon Footprint for nhhqlzuhli is</w:t>
      </w:r>
      <w:r>
        <w:t xml:space="preserve"> </w:t>
      </w:r>
      <w:r>
        <w:rPr>
          <w:bCs/>
          <w:b/>
        </w:rPr>
        <w:t xml:space="preserve">206.93 kg CO2e</w:t>
      </w:r>
      <w:r>
        <w:t xml:space="preserve"> </w:t>
      </w:r>
      <w:r>
        <w:t xml:space="preserve">per functional unit.</w:t>
      </w:r>
    </w:p>
    <w:p>
      <w:pPr>
        <w:pStyle w:val="BodyText"/>
      </w:pPr>
      <w:r>
        <w:t xml:space="preserve">The primary emission hotspots identified are the purchased goods and services (materials) and the use phase, followed by manufacturing energy and transportation. Key insights and recommendations are provided to guide kixpvlmnky in reducing the environmental impact of nhhqlzuhli and its operations.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is conducted in accordance with the GHG Protocol Product Standard, a globally recognized framework for quantifying and reporting greenhouse gas emissions associated with a product\'s lifecycle.</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nhhqlzuhli.</w:t>
      </w:r>
    </w:p>
    <w:bookmarkEnd w:id="23"/>
    <w:bookmarkStart w:id="24" w:name="system-boundary"/>
    <w:p>
      <w:pPr>
        <w:pStyle w:val="Heading3"/>
      </w:pPr>
      <w:r>
        <w:t xml:space="preserve">System Boundary</w:t>
      </w:r>
    </w:p>
    <w:p>
      <w:pPr>
        <w:numPr>
          <w:ilvl w:val="0"/>
          <w:numId w:val="1002"/>
        </w:numPr>
        <w:pStyle w:val="Compact"/>
      </w:pPr>
      <w:r>
        <w:rPr>
          <w:bCs/>
          <w:b/>
        </w:rPr>
        <w:t xml:space="preserve">System Boundary:</w:t>
      </w:r>
      <w:r>
        <w:t xml:space="preserve"> </w:t>
      </w:r>
      <w:r>
        <w:t xml:space="preserve">factory_gate.</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Allocation</w:t>
      </w:r>
    </w:p>
    <w:p>
      <w:pPr>
        <w:pStyle w:val="FirstParagraph"/>
      </w:pPr>
      <w:r>
        <w:t xml:space="preserve">Allocation of environmental impacts for co-products and multi-functional processes is performed using mass-based allocation principles where appropriate, in line with GHG Protocol guidelines. Where direct attribution is possible, it is prioritized to enhance accuracy.</w:t>
      </w:r>
    </w:p>
    <w:bookmarkEnd w:id="26"/>
    <w:bookmarkStart w:id="27" w:name="accounting-standard"/>
    <w:p>
      <w:pPr>
        <w:pStyle w:val="Heading3"/>
      </w:pPr>
      <w:r>
        <w:t xml:space="preserve">Accounting Standard</w:t>
      </w:r>
    </w:p>
    <w:p>
      <w:pPr>
        <w:pStyle w:val="FirstParagraph"/>
      </w:pPr>
      <w:r>
        <w:t xml:space="preserve">This Product Carbon Footprint report explicitly adheres to the</w:t>
      </w:r>
      <w:r>
        <w:t xml:space="preserve"> </w:t>
      </w:r>
      <w:r>
        <w:rPr>
          <w:bCs/>
          <w:b/>
        </w:rPr>
        <w:t xml:space="preserve">GHG Protocol</w:t>
      </w:r>
      <w:r>
        <w:t xml:space="preserve"> </w:t>
      </w:r>
      <w:r>
        <w:t xml:space="preserve">Corporate Accounting and Reporting Standard and the Corporate Value Chain (Scope 3) Accounting and Reporting Standard.</w:t>
      </w:r>
    </w:p>
    <w:p>
      <w:pPr>
        <w:numPr>
          <w:ilvl w:val="0"/>
          <w:numId w:val="1004"/>
        </w:numPr>
        <w:pStyle w:val="Compact"/>
      </w:pPr>
      <w:r>
        <w:rPr>
          <w:bCs/>
          <w:b/>
        </w:rPr>
        <w:t xml:space="preserve">GHG Protocol Scope Categorization:</w:t>
      </w:r>
      <w:r>
        <w:t xml:space="preserve"> </w:t>
      </w:r>
      <w:r>
        <w:t xml:space="preserve">Emissions are categorized into Scope 1 (direct emissions from owned or controlled sources), Scope 2 (indirect emissions from purchased electricity, heat, or steam),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published on January 30, 2026, and effective January 1, 2027, is applied where relevant. This standard provides accounting requirements and guidance for land sector activities and CO2 removals, including natural and technological removals. While forest carbon accounting is not in this initial version, the principles for other land-based emissions and removals are integrated into the overall assessment.</w:t>
      </w:r>
    </w:p>
    <w:p>
      <w:pPr>
        <w:numPr>
          <w:ilvl w:val="0"/>
          <w:numId w:val="1004"/>
        </w:numPr>
        <w:pStyle w:val="Compact"/>
      </w:pPr>
      <w:r>
        <w:rPr>
          <w:bCs/>
          <w:b/>
        </w:rPr>
        <w:t xml:space="preserve">Scope 3 Compliance:</w:t>
      </w:r>
      <w:r>
        <w:t xml:space="preserve"> </w:t>
      </w:r>
      <w:r>
        <w:t xml:space="preserve">In anticipation of the 2026 requirements, this report aims for at least 95% coverage for Scope 3 reporting. This means accounting for and reporting on a minimum of 95% of total required Scope 3 emissions, with any exclusions being quantified, disclosed, and justified.</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The lifecycle of nhhqlzuhli is mapped across key stages, and data is collected from primary and secondary sources to quantify the associated environmental impacts.</w:t>
      </w:r>
    </w:p>
    <w:bookmarkStart w:id="29" w:name="Xbe6ccabc25c1cdd9cab1a76d999b0d33ed169f2"/>
    <w:p>
      <w:pPr>
        <w:pStyle w:val="Heading3"/>
      </w:pPr>
      <w:r>
        <w:t xml:space="preserve">Detailed Bill of Materials (BOM) - fxoszkhy</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Recycled Aluminum</w:t>
            </w:r>
          </w:p>
        </w:tc>
        <w:tc>
          <w:tcPr/>
          <w:p>
            <w:pPr>
              <w:pStyle w:val="Compact"/>
              <w:jc w:val="left"/>
            </w:pPr>
            <w:r>
              <w:t xml:space="preserve">Metal</w:t>
            </w:r>
          </w:p>
        </w:tc>
        <w:tc>
          <w:tcPr/>
          <w:p>
            <w:pPr>
              <w:pStyle w:val="Compact"/>
              <w:jc w:val="left"/>
            </w:pPr>
            <w:r>
              <w:t xml:space="preserve">Sheet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3.5</w:t>
            </w:r>
          </w:p>
        </w:tc>
        <w:tc>
          <w:tcPr/>
          <w:p>
            <w:pPr>
              <w:pStyle w:val="Compact"/>
              <w:jc w:val="left"/>
            </w:pPr>
            <w:r>
              <w:t xml:space="preserve">35.0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2</w:t>
            </w:r>
          </w:p>
        </w:tc>
        <w:tc>
          <w:tcPr/>
          <w:p>
            <w:pPr>
              <w:pStyle w:val="Compact"/>
              <w:jc w:val="left"/>
            </w:pPr>
            <w:r>
              <w:t xml:space="preserve">kg</w:t>
            </w:r>
          </w:p>
        </w:tc>
        <w:tc>
          <w:tcPr/>
          <w:p>
            <w:pPr>
              <w:pStyle w:val="Compact"/>
              <w:jc w:val="left"/>
            </w:pPr>
            <w:r>
              <w:t xml:space="preserve">0.5</w:t>
            </w:r>
          </w:p>
        </w:tc>
        <w:tc>
          <w:tcPr/>
          <w:p>
            <w:pPr>
              <w:pStyle w:val="Compact"/>
              <w:jc w:val="left"/>
            </w:pPr>
            <w:r>
              <w:t xml:space="preserve">1.0</w:t>
            </w:r>
          </w:p>
        </w:tc>
      </w:tr>
    </w:tbl>
    <w:p>
      <w:pPr>
        <w:pStyle w:val="BodyText"/>
      </w:pPr>
      <w:r>
        <w:t xml:space="preserve">The total carbon impact from purchased materials, based on the provided BOM, amounts to</w:t>
      </w:r>
      <w:r>
        <w:t xml:space="preserve"> </w:t>
      </w:r>
      <w:r>
        <w:rPr>
          <w:bCs/>
          <w:b/>
        </w:rPr>
        <w:t xml:space="preserve">176.0 kg CO2e</w:t>
      </w:r>
      <w:r>
        <w:t xml:space="preserve">. These emissions fall under Scope 3, Category 1 (Purchased goods and services).</w:t>
      </w:r>
    </w:p>
    <w:p>
      <w:pPr>
        <w:pStyle w:val="BodyText"/>
      </w:pPr>
      <w:r>
        <w:t xml:space="preserve">The total estimated weight of the product for transport calculations is approximately 67.5 kg (sum of quantities, assuming 1 unit of Circuit Board is 0.5 kg for consistency in weight-based transport calculations).</w:t>
      </w:r>
    </w:p>
    <w:bookmarkEnd w:id="29"/>
    <w:bookmarkStart w:id="30" w:name="energy-inputs---production-phase"/>
    <w:p>
      <w:pPr>
        <w:pStyle w:val="Heading3"/>
      </w:pPr>
      <w:r>
        <w:t xml:space="preserve">Energy Inputs - Production Phase</w:t>
      </w:r>
    </w:p>
    <w:p>
      <w:pPr>
        <w:numPr>
          <w:ilvl w:val="0"/>
          <w:numId w:val="1005"/>
        </w:numPr>
        <w:pStyle w:val="Compact"/>
      </w:pPr>
      <w:r>
        <w:rPr>
          <w:bCs/>
          <w:b/>
        </w:rPr>
        <w:t xml:space="preserve">Renewable Energy Usage:</w:t>
      </w:r>
      <w:r>
        <w:t xml:space="preserve"> </w:t>
      </w:r>
      <w:r>
        <w:t xml:space="preserve">uqnqkzkwyq (60%)</w:t>
      </w:r>
    </w:p>
    <w:p>
      <w:pPr>
        <w:numPr>
          <w:ilvl w:val="0"/>
          <w:numId w:val="1005"/>
        </w:numPr>
        <w:pStyle w:val="Compact"/>
      </w:pPr>
      <w:r>
        <w:rPr>
          <w:bCs/>
          <w:b/>
        </w:rPr>
        <w:t xml:space="preserve">Energy Intensity (kWh/unit):</w:t>
      </w:r>
      <w:r>
        <w:t xml:space="preserve"> </w:t>
      </w:r>
      <w:r>
        <w:t xml:space="preserve">swgjujipfj (50 kWh/unit)</w:t>
      </w:r>
    </w:p>
    <w:p>
      <w:pPr>
        <w:pStyle w:val="FirstParagraph"/>
      </w:pPr>
      <w:r>
        <w:t xml:space="preserve">For electricity consumed in the production phase in China, an average grid emission factor of 0.58 kg CO2e/kWh is utilized. This factor is derived from recent data for China\'s electricity grid.</w:t>
      </w:r>
    </w:p>
    <w:p>
      <w:pPr>
        <w:pStyle w:val="BodyText"/>
      </w:pPr>
      <w:r>
        <w:t xml:space="preserve">With 60% renewable energy usage, 40% of the energy consumed (50 kWh/unit * 0.40 = 20 kWh/unit) is sourced from the conventional grid.</w:t>
      </w:r>
    </w:p>
    <w:bookmarkEnd w:id="30"/>
    <w:bookmarkStart w:id="31" w:name="logistics-data---supply-chain"/>
    <w:p>
      <w:pPr>
        <w:pStyle w:val="Heading3"/>
      </w:pPr>
      <w:r>
        <w:t xml:space="preserve">Logistics Data - Supply Chain</w:t>
      </w:r>
    </w:p>
    <w:p>
      <w:pPr>
        <w:numPr>
          <w:ilvl w:val="0"/>
          <w:numId w:val="1006"/>
        </w:numPr>
        <w:pStyle w:val="Compact"/>
      </w:pPr>
      <w:r>
        <w:rPr>
          <w:bCs/>
          <w:b/>
        </w:rPr>
        <w:t xml:space="preserve">Transport Mode (Main):</w:t>
      </w:r>
      <w:r>
        <w:t xml:space="preserve"> </w:t>
      </w:r>
      <w:r>
        <w:t xml:space="preserve">Select Mode (Ocean Freight - container)</w:t>
      </w:r>
    </w:p>
    <w:p>
      <w:pPr>
        <w:numPr>
          <w:ilvl w:val="0"/>
          <w:numId w:val="1006"/>
        </w:numPr>
        <w:pStyle w:val="Compact"/>
      </w:pPr>
      <w:r>
        <w:rPr>
          <w:bCs/>
          <w:b/>
        </w:rPr>
        <w:t xml:space="preserve">Transport Distance (Main):</w:t>
      </w:r>
      <w:r>
        <w:t xml:space="preserve"> </w:t>
      </w:r>
      <w:r>
        <w:t xml:space="preserve">mjvtfsrqrz (5000 km)</w:t>
      </w:r>
    </w:p>
    <w:p>
      <w:pPr>
        <w:numPr>
          <w:ilvl w:val="0"/>
          <w:numId w:val="1006"/>
        </w:numPr>
        <w:pStyle w:val="Compact"/>
      </w:pPr>
      <w:r>
        <w:rPr>
          <w:bCs/>
          <w:b/>
        </w:rPr>
        <w:t xml:space="preserve">Last-Mile Delivery Channel:</w:t>
      </w:r>
      <w:r>
        <w:t xml:space="preserve"> </w:t>
      </w:r>
      <w:r>
        <w:t xml:space="preserve">Delivery Type (Road - Van)</w:t>
      </w:r>
    </w:p>
    <w:p>
      <w:pPr>
        <w:pStyle w:val="FirstParagraph"/>
      </w:pPr>
      <w:r>
        <w:t xml:space="preserve">Emission factors for transportation are applied based on industry standards (e.g., DEFRA, GLEC, EPA).</w:t>
      </w:r>
    </w:p>
    <w:p>
      <w:pPr>
        <w:numPr>
          <w:ilvl w:val="0"/>
          <w:numId w:val="1007"/>
        </w:numPr>
        <w:pStyle w:val="Compact"/>
      </w:pPr>
      <w:r>
        <w:t xml:space="preserve">Ocean Freight Emission Factor: 0.016 kgCO2e/tonne-km.</w:t>
      </w:r>
    </w:p>
    <w:p>
      <w:pPr>
        <w:numPr>
          <w:ilvl w:val="0"/>
          <w:numId w:val="1007"/>
        </w:numPr>
        <w:pStyle w:val="Compact"/>
      </w:pPr>
      <w:r>
        <w:t xml:space="preserve">Road (Van) Emission Factor (Last-Mile): 0.062 kgCO2e/tonne-km (McKinnon average).</w:t>
      </w:r>
    </w:p>
    <w:p>
      <w:pPr>
        <w:numPr>
          <w:ilvl w:val="0"/>
          <w:numId w:val="1007"/>
        </w:numPr>
        <w:pStyle w:val="Compact"/>
      </w:pPr>
      <w:r>
        <w:t xml:space="preserve">Assumed last-mile distance: 100 km.</w:t>
      </w:r>
    </w:p>
    <w:bookmarkEnd w:id="31"/>
    <w:bookmarkStart w:id="32"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oulejrkrox (5 years)</w:t>
      </w:r>
    </w:p>
    <w:p>
      <w:pPr>
        <w:numPr>
          <w:ilvl w:val="0"/>
          <w:numId w:val="1008"/>
        </w:numPr>
        <w:pStyle w:val="Compact"/>
      </w:pPr>
      <w:r>
        <w:rPr>
          <w:bCs/>
          <w:b/>
        </w:rPr>
        <w:t xml:space="preserve">Energy Consumption in Use:</w:t>
      </w:r>
      <w:r>
        <w:t xml:space="preserve"> </w:t>
      </w:r>
      <w:r>
        <w:t xml:space="preserve">swfjvxwgyx (10 kWh/year)</w:t>
      </w:r>
    </w:p>
    <w:p>
      <w:pPr>
        <w:pStyle w:val="FirstParagraph"/>
      </w:pPr>
      <w:r>
        <w:t xml:space="preserve">For the use phase, a generic European electricity grid emission factor of 0.25 kg CO2e/kWh is applied, assuming the product\'s primary market is Europe and reflects typical consumer energy mixes.</w:t>
      </w:r>
    </w:p>
    <w:bookmarkEnd w:id="32"/>
    <w:bookmarkStart w:id="33" w:name="end-of-life-eol-scenarios"/>
    <w:p>
      <w:pPr>
        <w:pStyle w:val="Heading3"/>
      </w:pPr>
      <w:r>
        <w:t xml:space="preserve">End-of-Life (EoL) Scenarios</w:t>
      </w:r>
    </w:p>
    <w:p>
      <w:pPr>
        <w:numPr>
          <w:ilvl w:val="0"/>
          <w:numId w:val="1009"/>
        </w:numPr>
        <w:pStyle w:val="Compact"/>
      </w:pPr>
      <w:r>
        <w:rPr>
          <w:bCs/>
          <w:b/>
        </w:rPr>
        <w:t xml:space="preserve">Recyclability Percentage:</w:t>
      </w:r>
      <w:r>
        <w:t xml:space="preserve"> </w:t>
      </w:r>
      <w:r>
        <w:t xml:space="preserve">oqvqwwosze (85%)</w:t>
      </w:r>
    </w:p>
    <w:p>
      <w:pPr>
        <w:numPr>
          <w:ilvl w:val="0"/>
          <w:numId w:val="1009"/>
        </w:numPr>
        <w:pStyle w:val="Compact"/>
      </w:pPr>
      <w:r>
        <w:rPr>
          <w:bCs/>
          <w:b/>
        </w:rPr>
        <w:t xml:space="preserve">Circular/Take-back Programs:</w:t>
      </w:r>
      <w:r>
        <w:t xml:space="preserve"> </w:t>
      </w:r>
      <w:r>
        <w:t xml:space="preserve">yrxnognvxj (Product take-back program active)</w:t>
      </w:r>
    </w:p>
    <w:p>
      <w:pPr>
        <w:pStyle w:val="FirstParagraph"/>
      </w:pPr>
      <w:r>
        <w:t xml:space="preserve">EoL scenarios are incorporated to reflect circular economy impacts. The high recyclability percentage and active take-back programs significantly reduce the overall environmental burden. Emissions from non-recycled waste are estimated using a general waste treatment emission factor. Avoided emissions due to recycling are acknowledged as a significant benefit, reducing the need for virgin material production.</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 Scopes. Industry-standard emission factors from recognized sources like Ecoinvent and DEFRA (or comparable values from reliable databases) are used.</w:t>
      </w:r>
    </w:p>
    <w:bookmarkStart w:id="35" w:name="scope-1-emissions-direct-emissions"/>
    <w:p>
      <w:pPr>
        <w:pStyle w:val="Heading3"/>
      </w:pPr>
      <w:r>
        <w:t xml:space="preserve">Scope 1 Emissions (Direct Emissions)</w:t>
      </w:r>
    </w:p>
    <w:p>
      <w:pPr>
        <w:pStyle w:val="FirstParagraph"/>
      </w:pPr>
      <w:r>
        <w:t xml:space="preserve">For a "factory_gate" system boundary, Scope 1 emissions typically arise from direct fuel combustion in owned or controlled sources within the factory (e.g., boilers, company vehicles). Given the provided parameters, specific data for direct fuel combustion was not available. Therefore, direct Scope 1 emissions are considered negligible or implicitly covered within the energy intensity calculations (if the energy intensity factor accounts for on-site fuel use) for this product PCF.</w:t>
      </w:r>
    </w:p>
    <w:p>
      <w:pPr>
        <w:numPr>
          <w:ilvl w:val="0"/>
          <w:numId w:val="1010"/>
        </w:numPr>
        <w:pStyle w:val="Compact"/>
      </w:pPr>
      <w:r>
        <w:rPr>
          <w:bCs/>
          <w:b/>
        </w:rPr>
        <w:t xml:space="preserve">Total Scope 1 Emissions: 0.0 kg CO2e</w:t>
      </w:r>
    </w:p>
    <w:bookmarkEnd w:id="35"/>
    <w:bookmarkStart w:id="36" w:name="scope-2-emissions-purchased-energy"/>
    <w:p>
      <w:pPr>
        <w:pStyle w:val="Heading3"/>
      </w:pPr>
      <w:r>
        <w:t xml:space="preserve">Scope 2 Emissions (Purchased Energy)</w:t>
      </w:r>
    </w:p>
    <w:p>
      <w:pPr>
        <w:pStyle w:val="FirstParagraph"/>
      </w:pPr>
      <w:r>
        <w:t xml:space="preserve">These emissions result from the generation of purchased electricity for the production of nhhqlzuhli in China.</w:t>
      </w:r>
    </w:p>
    <w:p>
      <w:pPr>
        <w:numPr>
          <w:ilvl w:val="0"/>
          <w:numId w:val="1011"/>
        </w:numPr>
        <w:pStyle w:val="Compact"/>
      </w:pPr>
      <w:r>
        <w:t xml:space="preserve">Energy Intensity (per unit): 50 kWh</w:t>
      </w:r>
    </w:p>
    <w:p>
      <w:pPr>
        <w:numPr>
          <w:ilvl w:val="0"/>
          <w:numId w:val="1011"/>
        </w:numPr>
        <w:pStyle w:val="Compact"/>
      </w:pPr>
      <w:r>
        <w:t xml:space="preserve">Renewable Energy Usage: 60%</w:t>
      </w:r>
    </w:p>
    <w:p>
      <w:pPr>
        <w:numPr>
          <w:ilvl w:val="0"/>
          <w:numId w:val="1011"/>
        </w:numPr>
        <w:pStyle w:val="Compact"/>
      </w:pPr>
      <w:r>
        <w:t xml:space="preserve">Non-renewable energy: 50 kWh * (1 - 0.60) = 20 kWh</w:t>
      </w:r>
    </w:p>
    <w:p>
      <w:pPr>
        <w:numPr>
          <w:ilvl w:val="0"/>
          <w:numId w:val="1011"/>
        </w:numPr>
        <w:pStyle w:val="Compact"/>
      </w:pPr>
      <w:r>
        <w:t xml:space="preserve">China Grid Emission Factor: 0.58 kg CO2e/kWh</w:t>
      </w:r>
    </w:p>
    <w:p>
      <w:pPr>
        <w:numPr>
          <w:ilvl w:val="0"/>
          <w:numId w:val="1011"/>
        </w:numPr>
        <w:pStyle w:val="Compact"/>
      </w:pPr>
      <w:r>
        <w:rPr>
          <w:bCs/>
          <w:b/>
        </w:rPr>
        <w:t xml:space="preserve">Calculation:</w:t>
      </w:r>
      <w:r>
        <w:t xml:space="preserve"> </w:t>
      </w:r>
      <w:r>
        <w:t xml:space="preserve">20 kWh/unit * 0.58 kg CO2e/kWh = 11.6 kg CO2e</w:t>
      </w:r>
    </w:p>
    <w:p>
      <w:pPr>
        <w:numPr>
          <w:ilvl w:val="0"/>
          <w:numId w:val="1011"/>
        </w:numPr>
        <w:pStyle w:val="Compact"/>
      </w:pPr>
      <w:r>
        <w:rPr>
          <w:bCs/>
          <w:b/>
        </w:rPr>
        <w:t xml:space="preserve">Total Scope 2 Emissions: 11.6 kg CO2e</w:t>
      </w:r>
    </w:p>
    <w:bookmarkEnd w:id="36"/>
    <w:bookmarkStart w:id="41" w:name="scope-3-emissions-value-chain-emissions"/>
    <w:p>
      <w:pPr>
        <w:pStyle w:val="Heading3"/>
      </w:pPr>
      <w:r>
        <w:t xml:space="preserve">Scope 3 Emissions (Value Chain Emissions)</w:t>
      </w:r>
    </w:p>
    <w:p>
      <w:pPr>
        <w:pStyle w:val="FirstParagraph"/>
      </w:pPr>
      <w:r>
        <w:t xml:space="preserve">Scope 3 emissions encompass all other indirect emissions occurring in the value chain, both upstream and downstream.</w:t>
      </w:r>
    </w:p>
    <w:bookmarkStart w:id="37" w:name="Xab9729a0caae076ca89f2f71668734f92723cf2"/>
    <w:p>
      <w:pPr>
        <w:pStyle w:val="Heading4"/>
      </w:pPr>
      <w:r>
        <w:t xml:space="preserve">Category 1: Purchased Goods and Services (Materials)</w:t>
      </w:r>
    </w:p>
    <w:p>
      <w:pPr>
        <w:pStyle w:val="FirstParagraph"/>
      </w:pPr>
      <w:r>
        <w:t xml:space="preserve">Emissions from the extraction, production, and processing of raw materials for nhhqlzuhli.</w:t>
      </w:r>
    </w:p>
    <w:p>
      <w:pPr>
        <w:numPr>
          <w:ilvl w:val="0"/>
          <w:numId w:val="1012"/>
        </w:numPr>
        <w:pStyle w:val="Compact"/>
      </w:pPr>
      <w:r>
        <w:t xml:space="preserve">Total Carbon from BOM (fxoszkhy): 176.0 kg CO2e</w:t>
      </w:r>
    </w:p>
    <w:p>
      <w:pPr>
        <w:numPr>
          <w:ilvl w:val="0"/>
          <w:numId w:val="1012"/>
        </w:numPr>
        <w:pStyle w:val="Compact"/>
      </w:pPr>
      <w:r>
        <w:rPr>
          <w:bCs/>
          <w:b/>
        </w:rPr>
        <w:t xml:space="preserve">Total Scope 3 (Materials) Emissions: 176.0 kg CO2e</w:t>
      </w:r>
    </w:p>
    <w:bookmarkEnd w:id="37"/>
    <w:bookmarkStart w:id="38" w:name="Xe89e0a56fad43ffa0ef954ec8eb4af10b66d99f"/>
    <w:p>
      <w:pPr>
        <w:pStyle w:val="Heading4"/>
      </w:pPr>
      <w:r>
        <w:t xml:space="preserve">Category 4 &amp; 9: Transportation and Distribution (Upstream &amp; Downstream)</w:t>
      </w:r>
    </w:p>
    <w:p>
      <w:pPr>
        <w:pStyle w:val="FirstParagraph"/>
      </w:pPr>
      <w:r>
        <w:t xml:space="preserve">Emissions from transporting materials to the factory (upstream) and the finished product to the customer (downstream).</w:t>
      </w:r>
    </w:p>
    <w:p>
      <w:pPr>
        <w:numPr>
          <w:ilvl w:val="0"/>
          <w:numId w:val="1013"/>
        </w:numPr>
        <w:pStyle w:val="Compact"/>
      </w:pPr>
      <w:r>
        <w:t xml:space="preserve">Product Weight: 0.0675 tonnes</w:t>
      </w:r>
    </w:p>
    <w:p>
      <w:pPr>
        <w:numPr>
          <w:ilvl w:val="0"/>
          <w:numId w:val="1013"/>
        </w:numPr>
        <w:pStyle w:val="Compact"/>
      </w:pPr>
      <w:r>
        <w:rPr>
          <w:bCs/>
          <w:b/>
        </w:rPr>
        <w:t xml:space="preserve">Main Transport (Ocean Freight - China to Europe):</w:t>
      </w:r>
    </w:p>
    <w:p>
      <w:pPr>
        <w:numPr>
          <w:ilvl w:val="1"/>
          <w:numId w:val="1014"/>
        </w:numPr>
        <w:pStyle w:val="Compact"/>
      </w:pPr>
      <w:r>
        <w:t xml:space="preserve">Distance: 5000 km</w:t>
      </w:r>
    </w:p>
    <w:p>
      <w:pPr>
        <w:numPr>
          <w:ilvl w:val="1"/>
          <w:numId w:val="1014"/>
        </w:numPr>
        <w:pStyle w:val="Compact"/>
      </w:pPr>
      <w:r>
        <w:t xml:space="preserve">Emission Factor: 0.016 kgCO2e/tonne-km</w:t>
      </w:r>
    </w:p>
    <w:p>
      <w:pPr>
        <w:numPr>
          <w:ilvl w:val="1"/>
          <w:numId w:val="1014"/>
        </w:numPr>
        <w:pStyle w:val="Compact"/>
      </w:pPr>
      <w:r>
        <w:rPr>
          <w:bCs/>
          <w:b/>
        </w:rPr>
        <w:t xml:space="preserve">Calculation:</w:t>
      </w:r>
      <w:r>
        <w:t xml:space="preserve"> </w:t>
      </w:r>
      <w:r>
        <w:t xml:space="preserve">0.0675 t * 5000 km * 0.016 kgCO2e/tkm = 5.4 kg CO2e</w:t>
      </w:r>
    </w:p>
    <w:p>
      <w:pPr>
        <w:numPr>
          <w:ilvl w:val="0"/>
          <w:numId w:val="1013"/>
        </w:numPr>
        <w:pStyle w:val="Compact"/>
      </w:pPr>
      <w:r>
        <w:rPr>
          <w:bCs/>
          <w:b/>
        </w:rPr>
        <w:t xml:space="preserve">Last-Mile Delivery (Road - Van in Europe):</w:t>
      </w:r>
    </w:p>
    <w:p>
      <w:pPr>
        <w:numPr>
          <w:ilvl w:val="1"/>
          <w:numId w:val="1015"/>
        </w:numPr>
        <w:pStyle w:val="Compact"/>
      </w:pPr>
      <w:r>
        <w:t xml:space="preserve">Assumed Distance: 100 km</w:t>
      </w:r>
    </w:p>
    <w:p>
      <w:pPr>
        <w:numPr>
          <w:ilvl w:val="1"/>
          <w:numId w:val="1015"/>
        </w:numPr>
        <w:pStyle w:val="Compact"/>
      </w:pPr>
      <w:r>
        <w:t xml:space="preserve">Emission Factor: 0.062 kgCO2e/tonne-km</w:t>
      </w:r>
    </w:p>
    <w:p>
      <w:pPr>
        <w:numPr>
          <w:ilvl w:val="1"/>
          <w:numId w:val="1015"/>
        </w:numPr>
        <w:pStyle w:val="Compact"/>
      </w:pPr>
      <w:r>
        <w:rPr>
          <w:bCs/>
          <w:b/>
        </w:rPr>
        <w:t xml:space="preserve">Calculation:</w:t>
      </w:r>
      <w:r>
        <w:t xml:space="preserve"> </w:t>
      </w:r>
      <w:r>
        <w:t xml:space="preserve">0.0675 t * 100 km * 0.062 kgCO2e/tkm = 0.4185 kg CO2e</w:t>
      </w:r>
    </w:p>
    <w:p>
      <w:pPr>
        <w:numPr>
          <w:ilvl w:val="0"/>
          <w:numId w:val="1013"/>
        </w:numPr>
        <w:pStyle w:val="Compact"/>
      </w:pPr>
      <w:r>
        <w:rPr>
          <w:bCs/>
          <w:b/>
        </w:rPr>
        <w:t xml:space="preserve">Total Scope 3 (Transport) Emissions: 5.4 kg + 0.4185 kg = 5.82 kg CO2e</w:t>
      </w:r>
    </w:p>
    <w:bookmarkEnd w:id="38"/>
    <w:bookmarkStart w:id="39" w:name="category-11-use-of-sold-products"/>
    <w:p>
      <w:pPr>
        <w:pStyle w:val="Heading4"/>
      </w:pPr>
      <w:r>
        <w:t xml:space="preserve">Category 11: Use of Sold Products</w:t>
      </w:r>
    </w:p>
    <w:p>
      <w:pPr>
        <w:pStyle w:val="FirstParagraph"/>
      </w:pPr>
      <w:r>
        <w:t xml:space="preserve">Emissions from the energy consumed during the product\'s lifespan.</w:t>
      </w:r>
    </w:p>
    <w:p>
      <w:pPr>
        <w:numPr>
          <w:ilvl w:val="0"/>
          <w:numId w:val="1016"/>
        </w:numPr>
        <w:pStyle w:val="Compact"/>
      </w:pPr>
      <w:r>
        <w:t xml:space="preserve">Product Lifespan: 5 years</w:t>
      </w:r>
    </w:p>
    <w:p>
      <w:pPr>
        <w:numPr>
          <w:ilvl w:val="0"/>
          <w:numId w:val="1016"/>
        </w:numPr>
        <w:pStyle w:val="Compact"/>
      </w:pPr>
      <w:r>
        <w:t xml:space="preserve">Energy Consumption: 10 kWh/year</w:t>
      </w:r>
    </w:p>
    <w:p>
      <w:pPr>
        <w:numPr>
          <w:ilvl w:val="0"/>
          <w:numId w:val="1016"/>
        </w:numPr>
        <w:pStyle w:val="Compact"/>
      </w:pPr>
      <w:r>
        <w:t xml:space="preserve">Total Energy Consumed: 5 years * 10 kWh/year = 50 kWh</w:t>
      </w:r>
    </w:p>
    <w:p>
      <w:pPr>
        <w:numPr>
          <w:ilvl w:val="0"/>
          <w:numId w:val="1016"/>
        </w:numPr>
        <w:pStyle w:val="Compact"/>
      </w:pPr>
      <w:r>
        <w:t xml:space="preserve">European Grid Emission Factor (illustrative): 0.25 kg CO2e/kWh</w:t>
      </w:r>
    </w:p>
    <w:p>
      <w:pPr>
        <w:numPr>
          <w:ilvl w:val="0"/>
          <w:numId w:val="1016"/>
        </w:numPr>
        <w:pStyle w:val="Compact"/>
      </w:pPr>
      <w:r>
        <w:rPr>
          <w:bCs/>
          <w:b/>
        </w:rPr>
        <w:t xml:space="preserve">Calculation:</w:t>
      </w:r>
      <w:r>
        <w:t xml:space="preserve"> </w:t>
      </w:r>
      <w:r>
        <w:t xml:space="preserve">50 kWh * 0.25 kg CO2e/kWh = 12.5 kg CO2e</w:t>
      </w:r>
    </w:p>
    <w:p>
      <w:pPr>
        <w:numPr>
          <w:ilvl w:val="0"/>
          <w:numId w:val="1016"/>
        </w:numPr>
        <w:pStyle w:val="Compact"/>
      </w:pPr>
      <w:r>
        <w:rPr>
          <w:bCs/>
          <w:b/>
        </w:rPr>
        <w:t xml:space="preserve">Total Scope 3 (Use Phase) Emissions: 12.5 kg CO2e</w:t>
      </w:r>
    </w:p>
    <w:bookmarkEnd w:id="39"/>
    <w:bookmarkStart w:id="40" w:name="X9f66eef2700632e081dfe139021cb724ffcd2c5"/>
    <w:p>
      <w:pPr>
        <w:pStyle w:val="Heading4"/>
      </w:pPr>
      <w:r>
        <w:t xml:space="preserve">Category 12: End-of-Life Treatment of Sold Products</w:t>
      </w:r>
    </w:p>
    <w:p>
      <w:pPr>
        <w:pStyle w:val="FirstParagraph"/>
      </w:pPr>
      <w:r>
        <w:t xml:space="preserve">Emissions associated with the disposal or recycling of the product at the end of its life.</w:t>
      </w:r>
    </w:p>
    <w:p>
      <w:pPr>
        <w:numPr>
          <w:ilvl w:val="0"/>
          <w:numId w:val="1017"/>
        </w:numPr>
        <w:pStyle w:val="Compact"/>
      </w:pPr>
      <w:r>
        <w:t xml:space="preserve">Recyclability Percentage: 85%</w:t>
      </w:r>
    </w:p>
    <w:p>
      <w:pPr>
        <w:numPr>
          <w:ilvl w:val="0"/>
          <w:numId w:val="1017"/>
        </w:numPr>
        <w:pStyle w:val="Compact"/>
      </w:pPr>
      <w:r>
        <w:t xml:space="preserve">Non-recycled portion: (1 - 0.85) * 67.5 kg = 10.125 kg</w:t>
      </w:r>
    </w:p>
    <w:p>
      <w:pPr>
        <w:numPr>
          <w:ilvl w:val="0"/>
          <w:numId w:val="1017"/>
        </w:numPr>
        <w:pStyle w:val="Compact"/>
      </w:pPr>
      <w:r>
        <w:t xml:space="preserve">Illustrative Waste Treatment Emission Factor (e.g., landfill/incineration for non-recycled): 0.1 kg CO2e/kg (100 kg CO2e/tonne)</w:t>
      </w:r>
    </w:p>
    <w:p>
      <w:pPr>
        <w:numPr>
          <w:ilvl w:val="0"/>
          <w:numId w:val="1017"/>
        </w:numPr>
        <w:pStyle w:val="Compact"/>
      </w:pPr>
      <w:r>
        <w:rPr>
          <w:bCs/>
          <w:b/>
        </w:rPr>
        <w:t xml:space="preserve">Calculation:</w:t>
      </w:r>
      <w:r>
        <w:t xml:space="preserve"> </w:t>
      </w:r>
      <w:r>
        <w:t xml:space="preserve">10.125 kg * 0.1 kg CO2e/kg = 1.01 kg CO2e</w:t>
      </w:r>
    </w:p>
    <w:p>
      <w:pPr>
        <w:numPr>
          <w:ilvl w:val="0"/>
          <w:numId w:val="1017"/>
        </w:numPr>
        <w:pStyle w:val="Compact"/>
      </w:pPr>
      <w:r>
        <w:t xml:space="preserve">The active product take-back program (yrxnognvxj) and high recyclability (oqvqwwosze) significantly reduce overall EoL impacts by diverting waste from landfills and promoting material circularity, leading to avoided emissions from virgin material production.</w:t>
      </w:r>
    </w:p>
    <w:p>
      <w:pPr>
        <w:numPr>
          <w:ilvl w:val="0"/>
          <w:numId w:val="1017"/>
        </w:numPr>
        <w:pStyle w:val="Compact"/>
      </w:pPr>
      <w:r>
        <w:rPr>
          <w:bCs/>
          <w:b/>
        </w:rPr>
        <w:t xml:space="preserve">Total Scope 3 (End-of-Life) Emissions: 1.01 kg CO2e</w:t>
      </w:r>
    </w:p>
    <w:bookmarkEnd w:id="40"/>
    <w:bookmarkEnd w:id="41"/>
    <w:bookmarkStart w:id="42"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11.6</w:t>
            </w:r>
          </w:p>
        </w:tc>
        <w:tc>
          <w:tcPr/>
          <w:p>
            <w:pPr>
              <w:pStyle w:val="Compact"/>
              <w:jc w:val="left"/>
            </w:pPr>
            <w:r>
              <w:t xml:space="preserve">5.6%</w:t>
            </w:r>
          </w:p>
        </w:tc>
      </w:tr>
      <w:tr>
        <w:tc>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176.0</w:t>
            </w:r>
          </w:p>
        </w:tc>
        <w:tc>
          <w:tcPr/>
          <w:p>
            <w:pPr>
              <w:pStyle w:val="Compact"/>
              <w:jc w:val="left"/>
            </w:pPr>
            <w:r>
              <w:t xml:space="preserve">85.1%</w:t>
            </w:r>
          </w:p>
        </w:tc>
      </w:tr>
      <w:tr>
        <w:tc>
          <w:tcPr/>
          <w:p>
            <w:pPr>
              <w:pStyle w:val="Compact"/>
              <w:jc w:val="left"/>
            </w:pPr>
            <w:r>
              <w:t xml:space="preserve">Scope 3</w:t>
            </w:r>
          </w:p>
        </w:tc>
        <w:tc>
          <w:tcPr/>
          <w:p>
            <w:pPr>
              <w:pStyle w:val="Compact"/>
              <w:jc w:val="left"/>
            </w:pPr>
            <w:r>
              <w:t xml:space="preserve">Transportation and Distribution (Upstream &amp; Downstream)</w:t>
            </w:r>
          </w:p>
        </w:tc>
        <w:tc>
          <w:tcPr/>
          <w:p>
            <w:pPr>
              <w:pStyle w:val="Compact"/>
              <w:jc w:val="left"/>
            </w:pPr>
            <w:r>
              <w:t xml:space="preserve">5.82</w:t>
            </w:r>
          </w:p>
        </w:tc>
        <w:tc>
          <w:tcPr/>
          <w:p>
            <w:pPr>
              <w:pStyle w:val="Compact"/>
              <w:jc w:val="left"/>
            </w:pPr>
            <w:r>
              <w:t xml:space="preserve">2.8%</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12.5</w:t>
            </w:r>
          </w:p>
        </w:tc>
        <w:tc>
          <w:tcPr/>
          <w:p>
            <w:pPr>
              <w:pStyle w:val="Compact"/>
              <w:jc w:val="left"/>
            </w:pPr>
            <w:r>
              <w:t xml:space="preserve">6.0%</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1.01</w:t>
            </w:r>
          </w:p>
        </w:tc>
        <w:tc>
          <w:tcPr/>
          <w:p>
            <w:pPr>
              <w:pStyle w:val="Compact"/>
              <w:jc w:val="left"/>
            </w:pPr>
            <w:r>
              <w:t xml:space="preserve">0.5%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206.93</w:t>
            </w:r>
          </w:p>
        </w:tc>
        <w:tc>
          <w:tcPr/>
          <w:p>
            <w:pPr>
              <w:pStyle w:val="Compact"/>
              <w:jc w:val="left"/>
            </w:pPr>
            <w:r>
              <w:rPr>
                <w:bCs/>
                <w:b/>
              </w:rPr>
              <w:t xml:space="preserve">100.0%</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clearly identifies that the most significant contributor to the Product Carbon Footprint of nhhqlzuhli is the</w:t>
      </w:r>
      <w:r>
        <w:t xml:space="preserve"> </w:t>
      </w:r>
      <w:r>
        <w:rPr>
          <w:bCs/>
          <w:b/>
        </w:rPr>
        <w:t xml:space="preserve">Purchased Goods and Services (Materials)</w:t>
      </w:r>
      <w:r>
        <w:t xml:space="preserve">, accounting for approximately 85.1% of the total emissions. This highlights the critical importance of engaging with suppliers to reduce the embedded carbon in raw materials, potentially through sourcing lower-impact alternatives or increasing the use of recycled content where not already maximized.</w:t>
      </w:r>
    </w:p>
    <w:p>
      <w:pPr>
        <w:pStyle w:val="BodyText"/>
      </w:pPr>
      <w:r>
        <w:t xml:space="preserve">The</w:t>
      </w:r>
      <w:r>
        <w:t xml:space="preserve"> </w:t>
      </w:r>
      <w:r>
        <w:rPr>
          <w:bCs/>
          <w:b/>
        </w:rPr>
        <w:t xml:space="preserve">Use of Sold Products</w:t>
      </w:r>
      <w:r>
        <w:t xml:space="preserve"> </w:t>
      </w:r>
      <w:r>
        <w:t xml:space="preserve">phase is the second largest hotspot at 6.0%, indicating that efforts to improve energy efficiency during product operation or promote renewable energy use by consumers can yield substantial emission reductions.</w:t>
      </w:r>
    </w:p>
    <w:p>
      <w:pPr>
        <w:pStyle w:val="BodyText"/>
      </w:pPr>
      <w:r>
        <w:rPr>
          <w:bCs/>
          <w:b/>
        </w:rPr>
        <w:t xml:space="preserve">Purchased Electricity for Production (Scope 2)</w:t>
      </w:r>
      <w:r>
        <w:t xml:space="preserve"> </w:t>
      </w:r>
      <w:r>
        <w:t xml:space="preserve">contributes 5.6%, which can be further reduced by increasing the share of renewable energy procurement beyond the current 60% or investing in on-site renewable energy generation.</w:t>
      </w:r>
    </w:p>
    <w:bookmarkEnd w:id="44"/>
    <w:bookmarkStart w:id="45" w:name="reliability-and-data-quality"/>
    <w:p>
      <w:pPr>
        <w:pStyle w:val="Heading3"/>
      </w:pPr>
      <w:r>
        <w:t xml:space="preserve">Reliability and Data Quality</w:t>
      </w:r>
    </w:p>
    <w:p>
      <w:pPr>
        <w:pStyle w:val="FirstParagraph"/>
      </w:pPr>
      <w:r>
        <w:t xml:space="preserve">The reliability of this PCF analysis is considered high due to the utilization of a detailed Bill of Materials for material impact calculations and specific logistics and energy consumption data. Emission factors used are based on recognized industry standards (e.g., Ecoinvent, DEFRA, EPA), enhancing the credibility of the calculations.</w:t>
      </w:r>
    </w:p>
    <w:p>
      <w:pPr>
        <w:pStyle w:val="BodyText"/>
      </w:pPr>
      <w:r>
        <w:t xml:space="preserve">However, some assumptions were made for generic emission factors (e.g., European grid mix for use phase, general waste treatment EF) where specific regional or product-specific data was not provided. Future analyses could benefit from collecting more granular primary data for these areas to further enhance accuracy.</w:t>
      </w:r>
    </w:p>
    <w:p>
      <w:pPr>
        <w:pStyle w:val="BodyText"/>
      </w:pPr>
      <w:r>
        <w:t xml:space="preserve">The report aims for 95% Scope 3 coverage, as per forthcoming GHG Protocol requirements, ensuring a comprehensive assessment of the value chain.</w:t>
      </w:r>
    </w:p>
    <w:bookmarkEnd w:id="45"/>
    <w:bookmarkStart w:id="46" w:name="recommendations-for-kixpvlmnky"/>
    <w:p>
      <w:pPr>
        <w:pStyle w:val="Heading3"/>
      </w:pPr>
      <w:r>
        <w:t xml:space="preserve">Recommendations for kixpvlmnky</w:t>
      </w:r>
    </w:p>
    <w:p>
      <w:pPr>
        <w:numPr>
          <w:ilvl w:val="0"/>
          <w:numId w:val="1018"/>
        </w:numPr>
        <w:pStyle w:val="Compact"/>
      </w:pPr>
      <w:r>
        <w:rPr>
          <w:bCs/>
          <w:b/>
        </w:rPr>
        <w:t xml:space="preserve">Material Decarbonization:</w:t>
      </w:r>
      <w:r>
        <w:t xml:space="preserve"> </w:t>
      </w:r>
      <w:r>
        <w:t xml:space="preserve">Prioritize engagement with suppliers to explore and implement strategies for reducing the carbon footprint of raw materials, focusing on high-impact components. Investigate further opportunities for using recycled or bio-based materials.</w:t>
      </w:r>
    </w:p>
    <w:p>
      <w:pPr>
        <w:numPr>
          <w:ilvl w:val="0"/>
          <w:numId w:val="1018"/>
        </w:numPr>
        <w:pStyle w:val="Compact"/>
      </w:pPr>
      <w:r>
        <w:rPr>
          <w:bCs/>
          <w:b/>
        </w:rPr>
        <w:t xml:space="preserve">Energy Efficiency &amp; Renewables in Production:</w:t>
      </w:r>
      <w:r>
        <w:t xml:space="preserve"> </w:t>
      </w:r>
      <w:r>
        <w:t xml:space="preserve">Continue to increase the share of renewable electricity in manufacturing operations in China, aiming for 100% renewable energy where feasible. Explore energy efficiency improvements in production processes.</w:t>
      </w:r>
    </w:p>
    <w:p>
      <w:pPr>
        <w:numPr>
          <w:ilvl w:val="0"/>
          <w:numId w:val="1018"/>
        </w:numPr>
        <w:pStyle w:val="Compact"/>
      </w:pPr>
      <w:r>
        <w:rPr>
          <w:bCs/>
          <w:b/>
        </w:rPr>
        <w:t xml:space="preserve">Use Phase Optimization:</w:t>
      </w:r>
      <w:r>
        <w:t xml:space="preserve"> </w:t>
      </w:r>
      <w:r>
        <w:t xml:space="preserve">Research and develop design improvements to enhance the energy efficiency of nhhqlzuhli during its operational lifespan. Consider providing customers with information or incentives for using renewable energy sources during product use.</w:t>
      </w:r>
    </w:p>
    <w:p>
      <w:pPr>
        <w:numPr>
          <w:ilvl w:val="0"/>
          <w:numId w:val="1018"/>
        </w:numPr>
        <w:pStyle w:val="Compact"/>
      </w:pPr>
      <w:r>
        <w:rPr>
          <w:bCs/>
          <w:b/>
        </w:rPr>
        <w:t xml:space="preserve">Circular Economy Initiatives:</w:t>
      </w:r>
      <w:r>
        <w:t xml:space="preserve"> </w:t>
      </w:r>
      <w:r>
        <w:t xml:space="preserve">Leverage the existing product take-back program to maximize material recovery and explore innovative recycling technologies to further increase the effective recyclability of the product components.</w:t>
      </w:r>
    </w:p>
    <w:p>
      <w:pPr>
        <w:numPr>
          <w:ilvl w:val="0"/>
          <w:numId w:val="1018"/>
        </w:numPr>
        <w:pStyle w:val="Compact"/>
      </w:pPr>
      <w:r>
        <w:rPr>
          <w:bCs/>
          <w:b/>
        </w:rPr>
        <w:t xml:space="preserve">Data Refinement:</w:t>
      </w:r>
      <w:r>
        <w:t xml:space="preserve"> </w:t>
      </w:r>
      <w:r>
        <w:t xml:space="preserve">For future assessments, aim to collect more specific data on waste streams for End-of-Life emissions and region-specific energy mixes for the use phase to improve the accuracy of the PCF.</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nhhqlzuhli</dc:title>
  <dc:creator/>
  <dc:description>High-detail Product Carbon Footprint (PCF) analysis for nhhqlzuhli by kixpvlmnky, prepared by Senior Sustainability Consultant tygedzlrih, adhering to GHG Protocol standards including 2026 LSR Update and Scope 3 95% coverage requirements.</dc:description>
  <dc:language>en</dc:language>
  <cp:keywords/>
  <dcterms:created xsi:type="dcterms:W3CDTF">2026-07-15T09:32:25Z</dcterms:created>
  <dcterms:modified xsi:type="dcterms:W3CDTF">2026-07-15T09:32:25Z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