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mwywmufftt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mwywmufftt</w:t>
      </w:r>
    </w:p>
    <w:p>
      <w:pPr>
        <w:pStyle w:val="BodyText"/>
      </w:pPr>
      <w:r>
        <w:t xml:space="preserve">Company: uviyzdezdh</w:t>
      </w:r>
    </w:p>
    <w:p>
      <w:pPr>
        <w:pStyle w:val="BodyText"/>
      </w:pPr>
      <w:r>
        <w:t xml:space="preserve">Senior Sustainability Consultant: lduuikzxlt</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0"/>
    <w:bookmarkStart w:id="50" w:name="Xb5b669408e2103864315af73e6aa4ee497d9df9"/>
    <w:p>
      <w:pPr>
        <w:pStyle w:val="Heading1"/>
      </w:pPr>
      <w:r>
        <w:t xml:space="preserve">Product Carbon Footprint Analysis Report: mwywmufftt</w:t>
      </w:r>
    </w:p>
    <w:p>
      <w:pPr>
        <w:pStyle w:val="FirstParagraph"/>
      </w:pPr>
      <w:r>
        <w:rPr>
          <w:bCs/>
          <w:b/>
        </w:rPr>
        <w:t xml:space="preserve">Generated Date:</w:t>
      </w:r>
      <w:r>
        <w:t xml:space="preserve"> </w:t>
      </w:r>
      <w:r>
        <w:t xml:space="preserve">Friday, 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mwywmufftt</w:t>
      </w:r>
      <w:r>
        <w:t xml:space="preserve">, manufactured by</w:t>
      </w:r>
      <w:r>
        <w:t xml:space="preserve"> </w:t>
      </w:r>
      <w:r>
        <w:t xml:space="preserve">uviyzdezdh</w:t>
      </w:r>
      <w:r>
        <w:t xml:space="preserve">. The analysis was conducted by</w:t>
      </w:r>
      <w:r>
        <w:t xml:space="preserve"> </w:t>
      </w:r>
      <w:r>
        <w:t xml:space="preserve">lduuikzxlt</w:t>
      </w:r>
      <w:r>
        <w:t xml:space="preserve">, Senior Sustainability Consultant, adhering to the GHG Protocol. The assessment covers the entire lifecycle from material acquisition to end-of-life, with a system boundary of \'factory gate\' for primary production emissions and extending to include use-phase and end-of-life impacts. Key findings highlight emissions hotspots across the product\'s lifecycle, providing a foundation for strategic decarbonization efforts.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mwywmufftt</w:t>
      </w:r>
      <w:r>
        <w:t xml:space="preserve">.</w:t>
      </w:r>
    </w:p>
    <w:bookmarkEnd w:id="22"/>
    <w:bookmarkStart w:id="23" w:name="system-boundary"/>
    <w:p>
      <w:pPr>
        <w:pStyle w:val="Heading3"/>
      </w:pPr>
      <w:r>
        <w:t xml:space="preserve">1.2 System Boundary</w:t>
      </w:r>
    </w:p>
    <w:p>
      <w:pPr>
        <w:pStyle w:val="FirstParagraph"/>
      </w:pPr>
      <w:r>
        <w:t xml:space="preserve">The system boundary for primary production emissions is defined as \'factory_gate\', encompassing all processes up to the point the product leaves the manufacturing facility. This includes raw material extraction, pre-processing, manufacturing, and internal transportation within the factory. Upstream transportation, the product\'s use phase, and end-of-life treatment are also included in the overall lifecycle assessment to provide a comprehensive view of the product\'s impact.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some transport may originate from or pass through Europe)</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a company’s value chain). The analysis also considers the principles of the 2026 Land Sector and Removals (LSR) Standard where applicable for land use and carbon removals, and aims for at least 95% coverage for Scope 3 reporting as per 2026 requirements.</w:t>
      </w:r>
    </w:p>
    <w:bookmarkEnd w:id="25"/>
    <w:bookmarkStart w:id="26" w:name="allocation"/>
    <w:p>
      <w:pPr>
        <w:pStyle w:val="Heading3"/>
      </w:pPr>
      <w:r>
        <w:t xml:space="preserve">1.5 Allocation</w:t>
      </w:r>
    </w:p>
    <w:p>
      <w:pPr>
        <w:pStyle w:val="FirstParagraph"/>
      </w:pPr>
      <w:r>
        <w:t xml:space="preserve">Given the functional unit of "1.0 unit of mwywmufftt," no complex allocation procedures were required for co-products or by-products, as the analysis focuses on the direct impact attributable to the single product.</w:t>
      </w:r>
    </w:p>
    <w:p>
      <w:r>
        <w:pict>
          <v:rect style="width:0;height:1.5pt" o:hralign="center" o:hrstd="t" o:hr="t"/>
        </w:pict>
      </w:r>
    </w:p>
    <w:bookmarkEnd w:id="26"/>
    <w:bookmarkEnd w:id="27"/>
    <w:bookmarkStart w:id="33" w:name="X0013562128d9b0557400cee8e0ca077a95301f4"/>
    <w:p>
      <w:pPr>
        <w:pStyle w:val="Heading2"/>
      </w:pPr>
      <w:r>
        <w:t xml:space="preserve">2. Mapping the Product Lifecycle &amp; 3. Data Collection</w:t>
      </w:r>
    </w:p>
    <w:p>
      <w:pPr>
        <w:pStyle w:val="FirstParagraph"/>
      </w:pPr>
      <w:r>
        <w:t xml:space="preserve">The lifecycle of</w:t>
      </w:r>
      <w:r>
        <w:t xml:space="preserve"> </w:t>
      </w:r>
      <w:r>
        <w:t xml:space="preserve">mwywmufftt</w:t>
      </w:r>
      <w:r>
        <w:t xml:space="preserve"> </w:t>
      </w:r>
      <w:r>
        <w:t xml:space="preserve">has been mapped through five key stages, and data collected using a combination of primary data (provided parameters) and secondary, industry-standard emission factors (from sources like Ecoinvent/DEFRA, as identified via recent searches), where primary data was not available.</w:t>
      </w:r>
    </w:p>
    <w:bookmarkStart w:id="28" w:name="Xd4886ae8f27394ba5ffe1196913320b8167bae7"/>
    <w:p>
      <w:pPr>
        <w:pStyle w:val="Heading3"/>
      </w:pPr>
      <w:r>
        <w:t xml:space="preserve">3.1 Materials Acquisition and Pre-processing (Scope 3 Upstream)</w:t>
      </w:r>
    </w:p>
    <w:p>
      <w:pPr>
        <w:pStyle w:val="FirstParagraph"/>
      </w:pPr>
      <w:r>
        <w:t xml:space="preserve">The detailed Bill of Materials (BOM) for</w:t>
      </w:r>
      <w:r>
        <w:t xml:space="preserve"> </w:t>
      </w:r>
      <w:r>
        <w:t xml:space="preserve">mwywmufftt</w:t>
      </w:r>
      <w:r>
        <w:t xml:space="preserve"> </w:t>
      </w:r>
      <w:r>
        <w:t xml:space="preserve">provides high-accuracy material impact calculations.</w:t>
      </w:r>
    </w:p>
    <w:p>
      <w:pPr>
        <w:pStyle w:val="BodyText"/>
      </w:pPr>
      <w:r>
        <w:rPr>
          <w:bCs/>
          <w:b/>
        </w:rPr>
        <w:t xml:space="preserve">Detailed Bill of Materials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bl>
    <w:p>
      <w:pPr>
        <w:pStyle w:val="BodyText"/>
      </w:pPr>
      <w:r>
        <w:t xml:space="preserve">The material impact from the "Plastic Casing" directly contributes</w:t>
      </w:r>
      <w:r>
        <w:t xml:space="preserve"> </w:t>
      </w:r>
      <w:r>
        <w:t xml:space="preserve">1.25 kg CO2e</w:t>
      </w:r>
      <w:r>
        <w:t xml:space="preserve"> </w:t>
      </w:r>
      <w:r>
        <w:t xml:space="preserve">to the product\'s footprint. This value is directly used as provided in the BOM for high accuracy.</w:t>
      </w:r>
    </w:p>
    <w:bookmarkEnd w:id="28"/>
    <w:bookmarkStart w:id="29" w:name="manufacturing-production-scope-1-2"/>
    <w:p>
      <w:pPr>
        <w:pStyle w:val="Heading3"/>
      </w:pPr>
      <w:r>
        <w:t xml:space="preserve">3.2 Manufacturing / Production (Scope 1 &amp; 2)</w:t>
      </w:r>
    </w:p>
    <w:p>
      <w:pPr>
        <w:pStyle w:val="FirstParagraph"/>
      </w:pPr>
      <w:r>
        <w:t xml:space="preserve">The production phase, located in China, accounts for energy consumption and associated emissions.</w:t>
      </w:r>
    </w:p>
    <w:p>
      <w:pPr>
        <w:numPr>
          <w:ilvl w:val="0"/>
          <w:numId w:val="1002"/>
        </w:numPr>
        <w:pStyle w:val="Compact"/>
      </w:pPr>
      <w:r>
        <w:rPr>
          <w:bCs/>
          <w:b/>
        </w:rPr>
        <w:t xml:space="preserve">Energy Intensity (kWh/unit):</w:t>
      </w:r>
      <w:r>
        <w:t xml:space="preserve"> </w:t>
      </w:r>
      <w:r>
        <w:t xml:space="preserve">10 kWh/unit</w:t>
      </w:r>
    </w:p>
    <w:p>
      <w:pPr>
        <w:numPr>
          <w:ilvl w:val="0"/>
          <w:numId w:val="1002"/>
        </w:numPr>
        <w:pStyle w:val="Compact"/>
      </w:pPr>
      <w:r>
        <w:rPr>
          <w:bCs/>
          <w:b/>
        </w:rPr>
        <w:t xml:space="preserve">Renewable Energy Usage:</w:t>
      </w:r>
      <w:r>
        <w:t xml:space="preserve"> </w:t>
      </w:r>
      <w:r>
        <w:t xml:space="preserve">75%</w:t>
      </w:r>
    </w:p>
    <w:p>
      <w:pPr>
        <w:pStyle w:val="FirstParagraph"/>
      </w:pPr>
      <w:r>
        <w:t xml:space="preserve">This means 75% of the energy consumed in production is from renewable sources, and 25% is drawn from the grid.</w:t>
      </w:r>
      <w:r>
        <w:br/>
      </w:r>
      <w:r>
        <w:rPr>
          <w:bCs/>
          <w:b/>
        </w:rPr>
        <w:t xml:space="preserve">Assumed Emission Factors:</w:t>
      </w:r>
    </w:p>
    <w:p>
      <w:pPr>
        <w:numPr>
          <w:ilvl w:val="0"/>
          <w:numId w:val="1003"/>
        </w:numPr>
        <w:pStyle w:val="Compact"/>
      </w:pPr>
      <w:r>
        <w:t xml:space="preserve">China National Average Electricity Grid Emission Factor (2023): 0.6205 kgCO2e/kWh.</w:t>
      </w:r>
    </w:p>
    <w:p>
      <w:pPr>
        <w:numPr>
          <w:ilvl w:val="0"/>
          <w:numId w:val="1003"/>
        </w:numPr>
        <w:pStyle w:val="Compact"/>
      </w:pPr>
      <w:r>
        <w:t xml:space="preserve">Emissions from renewable energy are considered zero at the point of consumption (Scope 2 market-based approach assumed for purchased renewable electricity, location-based for grid mix).</w:t>
      </w:r>
    </w:p>
    <w:bookmarkEnd w:id="29"/>
    <w:bookmarkStart w:id="30" w:name="transport-scope-3-upstream-downstream"/>
    <w:p>
      <w:pPr>
        <w:pStyle w:val="Heading3"/>
      </w:pPr>
      <w:r>
        <w:t xml:space="preserve">3.3 Transport (Scope 3 Upstream &amp; Downstream)</w:t>
      </w:r>
    </w:p>
    <w:p>
      <w:pPr>
        <w:pStyle w:val="FirstParagraph"/>
      </w:pPr>
      <w:r>
        <w:t xml:space="preserve">Transportation emissions are calculated for both upstream (to factory gate) and downstream (last-mile delivery) logistics.</w:t>
      </w:r>
    </w:p>
    <w:p>
      <w:pPr>
        <w:numPr>
          <w:ilvl w:val="0"/>
          <w:numId w:val="1004"/>
        </w:numPr>
        <w:pStyle w:val="Compact"/>
      </w:pPr>
      <w:r>
        <w:rPr>
          <w:bCs/>
          <w:b/>
        </w:rPr>
        <w:t xml:space="preserve">Primary Transport Mode:</w:t>
      </w:r>
      <w:r>
        <w:t xml:space="preserve"> </w:t>
      </w:r>
      <w:r>
        <w:t xml:space="preserve">Road Freight</w:t>
      </w:r>
      <w:r>
        <w:t xml:space="preserve"> </w:t>
      </w:r>
      <w:r>
        <w:t xml:space="preserve">(assumed for "Select Mode")</w:t>
      </w:r>
    </w:p>
    <w:p>
      <w:pPr>
        <w:numPr>
          <w:ilvl w:val="0"/>
          <w:numId w:val="1004"/>
        </w:numPr>
        <w:pStyle w:val="Compact"/>
      </w:pPr>
      <w:r>
        <w:rPr>
          <w:bCs/>
          <w:b/>
        </w:rPr>
        <w:t xml:space="preserve">Primary Transport Distance:</w:t>
      </w:r>
      <w:r>
        <w:t xml:space="preserve"> </w:t>
      </w:r>
      <w:r>
        <w:t xml:space="preserve">1500 km</w:t>
      </w:r>
      <w:r>
        <w:t xml:space="preserve"> </w:t>
      </w:r>
      <w:r>
        <w:t xml:space="preserve">(extracted from "hjssztmomx")</w:t>
      </w:r>
    </w:p>
    <w:p>
      <w:pPr>
        <w:numPr>
          <w:ilvl w:val="0"/>
          <w:numId w:val="1004"/>
        </w:numPr>
        <w:pStyle w:val="Compact"/>
      </w:pPr>
      <w:r>
        <w:rPr>
          <w:bCs/>
          <w:b/>
        </w:rPr>
        <w:t xml:space="preserve">Last-Mile Delivery Channel:</w:t>
      </w:r>
      <w:r>
        <w:t xml:space="preserve"> </w:t>
      </w:r>
      <w:r>
        <w:t xml:space="preserve">Parcel Delivery Van</w:t>
      </w:r>
      <w:r>
        <w:t xml:space="preserve"> </w:t>
      </w:r>
      <w:r>
        <w:t xml:space="preserve">(assumed for "Delivery Type")</w:t>
      </w:r>
    </w:p>
    <w:p>
      <w:pPr>
        <w:numPr>
          <w:ilvl w:val="0"/>
          <w:numId w:val="1004"/>
        </w:numPr>
        <w:pStyle w:val="Compact"/>
      </w:pPr>
      <w:r>
        <w:rPr>
          <w:bCs/>
          <w:b/>
        </w:rPr>
        <w:t xml:space="preserve">Last-Mile Delivery Distance:</w:t>
      </w:r>
      <w:r>
        <w:t xml:space="preserve"> </w:t>
      </w:r>
      <w:r>
        <w:t xml:space="preserve">50 km</w:t>
      </w:r>
      <w:r>
        <w:t xml:space="preserve"> </w:t>
      </w:r>
      <w:r>
        <w:t xml:space="preserve">(extracted from "hjssztmomx")</w:t>
      </w:r>
    </w:p>
    <w:p>
      <w:pPr>
        <w:numPr>
          <w:ilvl w:val="0"/>
          <w:numId w:val="1004"/>
        </w:numPr>
        <w:pStyle w:val="Compact"/>
      </w:pPr>
      <w:r>
        <w:rPr>
          <w:bCs/>
          <w:b/>
        </w:rPr>
        <w:t xml:space="preserve">Product Weight:</w:t>
      </w:r>
      <w:r>
        <w:t xml:space="preserve"> </w:t>
      </w:r>
      <w:r>
        <w:t xml:space="preserve">0.5 kg (from BOM for "Plastic Casing," assumed representative for the product)</w:t>
      </w:r>
    </w:p>
    <w:p>
      <w:pPr>
        <w:pStyle w:val="FirstParagraph"/>
      </w:pPr>
      <w:r>
        <w:rPr>
          <w:bCs/>
          <w:b/>
        </w:rPr>
        <w:t xml:space="preserve">Assumed Emission Factors:</w:t>
      </w:r>
    </w:p>
    <w:p>
      <w:pPr>
        <w:numPr>
          <w:ilvl w:val="0"/>
          <w:numId w:val="1005"/>
        </w:numPr>
        <w:pStyle w:val="Compact"/>
      </w:pPr>
      <w:r>
        <w:t xml:space="preserve">Road Freight (Truck, average): 0.09 kgCO2e/tonne-km (based on typical industry averages, e.g., GLEC framework as mentioned by Climatiq)</w:t>
      </w:r>
    </w:p>
    <w:p>
      <w:pPr>
        <w:numPr>
          <w:ilvl w:val="0"/>
          <w:numId w:val="1005"/>
        </w:numPr>
        <w:pStyle w:val="Compact"/>
      </w:pPr>
      <w:r>
        <w:t xml:space="preserve">Parcel Delivery Van: 0.25 kgCO2e/km.</w:t>
      </w:r>
    </w:p>
    <w:bookmarkEnd w:id="30"/>
    <w:bookmarkStart w:id="31" w:name="use-phase-scope-3-downstream"/>
    <w:p>
      <w:pPr>
        <w:pStyle w:val="Heading3"/>
      </w:pPr>
      <w:r>
        <w:t xml:space="preserve">3.4 Use Phase (Scope 3 Downstream)</w:t>
      </w:r>
    </w:p>
    <w:p>
      <w:pPr>
        <w:pStyle w:val="FirstParagraph"/>
      </w:pPr>
      <w:r>
        <w:t xml:space="preserve">The use phase emissions are based on the product\'s lifespan and energy consumption.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20 kWh/year</w:t>
      </w:r>
    </w:p>
    <w:p>
      <w:pPr>
        <w:pStyle w:val="FirstParagraph"/>
      </w:pPr>
      <w:r>
        <w:rPr>
          <w:bCs/>
          <w:b/>
        </w:rPr>
        <w:t xml:space="preserve">Assumed Emission Factor:</w:t>
      </w:r>
    </w:p>
    <w:p>
      <w:pPr>
        <w:numPr>
          <w:ilvl w:val="0"/>
          <w:numId w:val="1007"/>
        </w:numPr>
        <w:pStyle w:val="Compact"/>
      </w:pPr>
      <w:r>
        <w:t xml:space="preserve">Europe Average Electricity Grid Emission Factor: 0.238 kgCO2e/kWh. (assuming product used in Europe, aligning with "Supply Chain Focus: Europe Focused")</w:t>
      </w:r>
    </w:p>
    <w:bookmarkEnd w:id="31"/>
    <w:bookmarkStart w:id="32" w:name="end-of-life-eol-scope-3-downstream"/>
    <w:p>
      <w:pPr>
        <w:pStyle w:val="Heading3"/>
      </w:pPr>
      <w:r>
        <w:t xml:space="preserve">3.5 End-of-Life (EoL) (Scope 3 Downstream)</w:t>
      </w:r>
    </w:p>
    <w:p>
      <w:pPr>
        <w:pStyle w:val="FirstParagraph"/>
      </w:pPr>
      <w:r>
        <w:t xml:space="preserve">End-of-Life scenarios incorporate recyclability and circular economy initiatives.</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Product take-back and refurbishment program</w:t>
      </w:r>
    </w:p>
    <w:p>
      <w:pPr>
        <w:pStyle w:val="FirstParagraph"/>
      </w:pPr>
      <w:r>
        <w:rPr>
          <w:bCs/>
          <w:b/>
        </w:rPr>
        <w:t xml:space="preserve">Assumed Emission Factors / Avoided Burdens:</w:t>
      </w:r>
    </w:p>
    <w:p>
      <w:pPr>
        <w:numPr>
          <w:ilvl w:val="0"/>
          <w:numId w:val="1009"/>
        </w:numPr>
        <w:pStyle w:val="Compact"/>
      </w:pPr>
      <w:r>
        <w:t xml:space="preserve">Recycling Benefit (Plastic): -2.25 kgCO2e/kg (avoided virgin plastic production).</w:t>
      </w:r>
    </w:p>
    <w:p>
      <w:pPr>
        <w:numPr>
          <w:ilvl w:val="0"/>
          <w:numId w:val="1009"/>
        </w:numPr>
        <w:pStyle w:val="Compact"/>
      </w:pPr>
      <w:r>
        <w:t xml:space="preserve">Landfill (Plastic): 0.008884 kgCO2e/kg.</w:t>
      </w:r>
    </w:p>
    <w:p>
      <w:pPr>
        <w:numPr>
          <w:ilvl w:val="0"/>
          <w:numId w:val="1009"/>
        </w:numPr>
        <w:pStyle w:val="Compact"/>
      </w:pPr>
      <w:r>
        <w:t xml:space="preserve">Emissions from the "Product take-back and refurbishment program" are assumed to be a net benefit or zero, as refurbishment extends product life and avoids new production, but specific data for its impact is not provided. For this analysis, it is considered a positive circularity aspect without a quantified emission/saving unless further data is supplied.</w:t>
      </w:r>
    </w:p>
    <w:p>
      <w:r>
        <w:pict>
          <v:rect style="width:0;height:1.5pt" o:hralign="center" o:hrstd="t" o:hr="t"/>
        </w:pict>
      </w:r>
    </w:p>
    <w:bookmarkEnd w:id="32"/>
    <w:bookmarkEnd w:id="33"/>
    <w:bookmarkStart w:id="44" w:name="emission-calculation-ghg-protocol-scopes"/>
    <w:p>
      <w:pPr>
        <w:pStyle w:val="Heading2"/>
      </w:pPr>
      <w:r>
        <w:t xml:space="preserve">4. Emission Calculation (GHG Protocol Scopes)</w:t>
      </w:r>
    </w:p>
    <w:p>
      <w:pPr>
        <w:pStyle w:val="FirstParagraph"/>
      </w:pPr>
      <w:r>
        <w:t xml:space="preserve">Emissions are calculated for each lifecycle stage and categorized according to the GHG Protocol.</w:t>
      </w:r>
    </w:p>
    <w:bookmarkStart w:id="39" w:name="calculations"/>
    <w:p>
      <w:pPr>
        <w:pStyle w:val="Heading3"/>
      </w:pPr>
      <w:r>
        <w:t xml:space="preserve">4.1 Calculations</w:t>
      </w:r>
    </w:p>
    <w:bookmarkStart w:id="34" w:name="Xe8e9840e467de23bebc0eabbbe89a66f9f28daa"/>
    <w:p>
      <w:pPr>
        <w:pStyle w:val="Heading4"/>
      </w:pPr>
      <w:r>
        <w:t xml:space="preserve">4.1.1 Materials Acquisition and Pre-processing (Scope 3, Category 1)</w:t>
      </w:r>
    </w:p>
    <w:p>
      <w:pPr>
        <w:pStyle w:val="FirstParagraph"/>
      </w:pPr>
      <w:r>
        <w:t xml:space="preserve">From BOM: 1.25 kgCO2e.</w:t>
      </w:r>
    </w:p>
    <w:p>
      <w:pPr>
        <w:pStyle w:val="BodyText"/>
      </w:pPr>
      <w:r>
        <w:t xml:space="preserve">Total Material Emissions:</w:t>
      </w:r>
      <w:r>
        <w:t xml:space="preserve"> </w:t>
      </w:r>
      <w:r>
        <w:rPr>
          <w:bCs/>
          <w:b/>
        </w:rPr>
        <w:t xml:space="preserve">1.25 kgCO2e</w:t>
      </w:r>
    </w:p>
    <w:bookmarkEnd w:id="34"/>
    <w:bookmarkStart w:id="35" w:name="manufacturing-production"/>
    <w:p>
      <w:pPr>
        <w:pStyle w:val="Heading4"/>
      </w:pPr>
      <w:r>
        <w:t xml:space="preserve">4.1.2 Manufacturing / Production</w:t>
      </w:r>
    </w:p>
    <w:p>
      <w:pPr>
        <w:pStyle w:val="FirstParagraph"/>
      </w:pPr>
      <w:r>
        <w:t xml:space="preserve">Energy Consumption: 10 kWh/unit</w:t>
      </w:r>
      <w:r>
        <w:br/>
      </w:r>
      <w:r>
        <w:t xml:space="preserve">Renewable Energy Usage: 75%</w:t>
      </w:r>
      <w:r>
        <w:br/>
      </w:r>
      <w:r>
        <w:t xml:space="preserve">Grid Electricity Consumption: 10 kWh * (1 - 0.75) = 2.5 kWh/unit</w:t>
      </w:r>
      <w:r>
        <w:br/>
      </w:r>
      <w:r>
        <w:t xml:space="preserve">Grid Electricity Emissions (China): 2.5 kWh/unit * 0.6205 kgCO2e/kWh = 1.55125 kgCO2e/unit.</w:t>
      </w:r>
    </w:p>
    <w:p>
      <w:pPr>
        <w:pStyle w:val="BodyText"/>
      </w:pPr>
      <w:r>
        <w:t xml:space="preserve">Total Production Emissions:</w:t>
      </w:r>
      <w:r>
        <w:t xml:space="preserve"> </w:t>
      </w:r>
      <w:r>
        <w:rPr>
          <w:bCs/>
          <w:b/>
        </w:rPr>
        <w:t xml:space="preserve">1.55 kgCO2e</w:t>
      </w:r>
      <w:r>
        <w:br/>
      </w:r>
      <w:r>
        <w:t xml:space="preserve">(Scope 2 for purchased electricity, or Scope 3 Category 3 if electricity generation is not owned/controlled)</w:t>
      </w:r>
    </w:p>
    <w:bookmarkEnd w:id="35"/>
    <w:bookmarkStart w:id="36" w:name="transport-scope-3-category-4-9"/>
    <w:p>
      <w:pPr>
        <w:pStyle w:val="Heading4"/>
      </w:pPr>
      <w:r>
        <w:t xml:space="preserve">4.1.3 Transport (Scope 3, Category 4 &amp; 9)</w:t>
      </w:r>
    </w:p>
    <w:p>
      <w:pPr>
        <w:numPr>
          <w:ilvl w:val="0"/>
          <w:numId w:val="1010"/>
        </w:numPr>
        <w:pStyle w:val="Compact"/>
      </w:pPr>
      <w:r>
        <w:rPr>
          <w:bCs/>
          <w:b/>
        </w:rPr>
        <w:t xml:space="preserve">Primary Transport (Upstream - from Europe to China factory):</w:t>
      </w:r>
    </w:p>
    <w:p>
      <w:pPr>
        <w:numPr>
          <w:ilvl w:val="1"/>
          <w:numId w:val="1011"/>
        </w:numPr>
        <w:pStyle w:val="Compact"/>
      </w:pPr>
      <w:r>
        <w:t xml:space="preserve">Product Weight: 0.5 kg = 0.0005 tonnes</w:t>
      </w:r>
    </w:p>
    <w:p>
      <w:pPr>
        <w:numPr>
          <w:ilvl w:val="1"/>
          <w:numId w:val="1011"/>
        </w:numPr>
        <w:pStyle w:val="Compact"/>
      </w:pPr>
      <w:r>
        <w:t xml:space="preserve">Distance: 1500 km</w:t>
      </w:r>
    </w:p>
    <w:p>
      <w:pPr>
        <w:numPr>
          <w:ilvl w:val="1"/>
          <w:numId w:val="1011"/>
        </w:numPr>
        <w:pStyle w:val="Compact"/>
      </w:pPr>
      <w:r>
        <w:t xml:space="preserve">Activity: 0.0005 tonnes * 1500 km = 0.75 tonne-km</w:t>
      </w:r>
    </w:p>
    <w:p>
      <w:pPr>
        <w:numPr>
          <w:ilvl w:val="1"/>
          <w:numId w:val="1011"/>
        </w:numPr>
        <w:pStyle w:val="Compact"/>
      </w:pPr>
      <w:r>
        <w:t xml:space="preserve">Emissions: 0.75 tonne-km * 0.09 kgCO2e/tonne-km = 0.0675 kgCO2e</w:t>
      </w:r>
    </w:p>
    <w:p>
      <w:pPr>
        <w:numPr>
          <w:ilvl w:val="0"/>
          <w:numId w:val="1010"/>
        </w:numPr>
        <w:pStyle w:val="Compact"/>
      </w:pPr>
      <w:r>
        <w:rPr>
          <w:bCs/>
          <w:b/>
        </w:rPr>
        <w:t xml:space="preserve">Last-Mile Delivery (Downstream - from China factory to end-user, assuming within Europe for delivery context):</w:t>
      </w:r>
    </w:p>
    <w:p>
      <w:pPr>
        <w:numPr>
          <w:ilvl w:val="1"/>
          <w:numId w:val="1012"/>
        </w:numPr>
        <w:pStyle w:val="Compact"/>
      </w:pPr>
      <w:r>
        <w:t xml:space="preserve">Distance: 50 km</w:t>
      </w:r>
    </w:p>
    <w:p>
      <w:pPr>
        <w:numPr>
          <w:ilvl w:val="1"/>
          <w:numId w:val="1012"/>
        </w:numPr>
        <w:pStyle w:val="Compact"/>
      </w:pPr>
      <w:r>
        <w:t xml:space="preserve">Emissions: 50 km * 0.25 kgCO2e/km = 12.5 kgCO2e.</w:t>
      </w:r>
    </w:p>
    <w:p>
      <w:pPr>
        <w:pStyle w:val="FirstParagraph"/>
      </w:pPr>
      <w:r>
        <w:t xml:space="preserve">Total Transport Emissions: 0.0675 kgCO2e + 12.5 kgCO2e =</w:t>
      </w:r>
      <w:r>
        <w:t xml:space="preserve"> </w:t>
      </w:r>
      <w:r>
        <w:rPr>
          <w:bCs/>
          <w:b/>
        </w:rPr>
        <w:t xml:space="preserve">12.5675 kgCO2e</w:t>
      </w:r>
    </w:p>
    <w:bookmarkEnd w:id="36"/>
    <w:bookmarkStart w:id="37" w:name="use-phase-scope-3-category-11"/>
    <w:p>
      <w:pPr>
        <w:pStyle w:val="Heading4"/>
      </w:pPr>
      <w:r>
        <w:t xml:space="preserve">4.1.4 Use Phase (Scope 3, Category 11)</w:t>
      </w:r>
    </w:p>
    <w:p>
      <w:pPr>
        <w:pStyle w:val="FirstParagraph"/>
      </w:pPr>
      <w:r>
        <w:t xml:space="preserve">Product Lifespan: 5 years</w:t>
      </w:r>
      <w:r>
        <w:br/>
      </w:r>
      <w:r>
        <w:t xml:space="preserve">Annual Energy Consumption: 20 kWh/year</w:t>
      </w:r>
      <w:r>
        <w:br/>
      </w:r>
      <w:r>
        <w:t xml:space="preserve">Total Energy Consumption over Lifespan: 20 kWh/year * 5 years = 100 kWh</w:t>
      </w:r>
      <w:r>
        <w:br/>
      </w:r>
      <w:r>
        <w:t xml:space="preserve">Use Phase Emissions (Europe grid): 100 kWh * 0.238 kgCO2e/kWh = 23.8 kgCO2e.</w:t>
      </w:r>
    </w:p>
    <w:p>
      <w:pPr>
        <w:pStyle w:val="BodyText"/>
      </w:pPr>
      <w:r>
        <w:t xml:space="preserve">Total Use Phase Emissions:</w:t>
      </w:r>
      <w:r>
        <w:t xml:space="preserve"> </w:t>
      </w:r>
      <w:r>
        <w:rPr>
          <w:bCs/>
          <w:b/>
        </w:rPr>
        <w:t xml:space="preserve">23.8 kgCO2e</w:t>
      </w:r>
    </w:p>
    <w:bookmarkEnd w:id="37"/>
    <w:bookmarkStart w:id="38" w:name="end-of-life-eol-scope-3-category-12"/>
    <w:p>
      <w:pPr>
        <w:pStyle w:val="Heading4"/>
      </w:pPr>
      <w:r>
        <w:t xml:space="preserve">4.1.5 End-of-Life (EoL) (Scope 3, Category 12)</w:t>
      </w:r>
    </w:p>
    <w:p>
      <w:pPr>
        <w:pStyle w:val="FirstParagraph"/>
      </w:pPr>
      <w:r>
        <w:t xml:space="preserve">Product Weight: 0.5 kg (plastic)</w:t>
      </w:r>
      <w:r>
        <w:br/>
      </w:r>
      <w:r>
        <w:t xml:space="preserve">Recyclability: 80% (0.4 kg)</w:t>
      </w:r>
      <w:r>
        <w:br/>
      </w:r>
      <w:r>
        <w:t xml:space="preserve">Non-Recyclable: 20% (0.1 kg)</w:t>
      </w:r>
    </w:p>
    <w:p>
      <w:pPr>
        <w:numPr>
          <w:ilvl w:val="0"/>
          <w:numId w:val="1013"/>
        </w:numPr>
        <w:pStyle w:val="Compact"/>
      </w:pPr>
      <w:r>
        <w:rPr>
          <w:bCs/>
          <w:b/>
        </w:rPr>
        <w:t xml:space="preserve">Recycling Benefit:</w:t>
      </w:r>
    </w:p>
    <w:p>
      <w:pPr>
        <w:numPr>
          <w:ilvl w:val="1"/>
          <w:numId w:val="1014"/>
        </w:numPr>
        <w:pStyle w:val="Compact"/>
      </w:pPr>
      <w:r>
        <w:t xml:space="preserve">0.4 kg * -2.25 kgCO2e/kg = -0.9 kgCO2e.</w:t>
      </w:r>
    </w:p>
    <w:p>
      <w:pPr>
        <w:numPr>
          <w:ilvl w:val="0"/>
          <w:numId w:val="1013"/>
        </w:numPr>
        <w:pStyle w:val="Compact"/>
      </w:pPr>
      <w:r>
        <w:rPr>
          <w:bCs/>
          <w:b/>
        </w:rPr>
        <w:t xml:space="preserve">Landfill Emissions:</w:t>
      </w:r>
    </w:p>
    <w:p>
      <w:pPr>
        <w:numPr>
          <w:ilvl w:val="1"/>
          <w:numId w:val="1015"/>
        </w:numPr>
        <w:pStyle w:val="Compact"/>
      </w:pPr>
      <w:r>
        <w:t xml:space="preserve">0.1 kg * 0.008884 kgCO2e/kg = 0.0008884 kgCO2e.</w:t>
      </w:r>
    </w:p>
    <w:p>
      <w:pPr>
        <w:pStyle w:val="FirstParagraph"/>
      </w:pPr>
      <w:r>
        <w:t xml:space="preserve">Total End-of-Life Emissions: -0.9 kgCO2e + 0.0008884 kgCO2e =</w:t>
      </w:r>
      <w:r>
        <w:t xml:space="preserve"> </w:t>
      </w:r>
      <w:r>
        <w:rPr>
          <w:bCs/>
          <w:b/>
        </w:rPr>
        <w:t xml:space="preserve">-0.89911 kgCO2e</w:t>
      </w:r>
      <w:r>
        <w:t xml:space="preserve"> </w:t>
      </w:r>
      <w:r>
        <w:t xml:space="preserve">(Net Benefit)</w:t>
      </w:r>
    </w:p>
    <w:bookmarkEnd w:id="38"/>
    <w:bookmarkEnd w:id="39"/>
    <w:bookmarkStart w:id="40" w:name="Xaaa62ae93e17e1e94ef3946caf0dc8b35f72ff5"/>
    <w:p>
      <w:pPr>
        <w:pStyle w:val="Heading3"/>
      </w:pPr>
      <w:r>
        <w:t xml:space="preserve">4.2 Summary of Product Carbon Footprint (PCF) for mwywmufftt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Protocol Scope(s)</w:t>
            </w:r>
          </w:p>
        </w:tc>
      </w:tr>
      <w:tr>
        <w:tc>
          <w:tcPr/>
          <w:p>
            <w:pPr>
              <w:pStyle w:val="Compact"/>
              <w:jc w:val="left"/>
            </w:pPr>
            <w:r>
              <w:t xml:space="preserve">Materials Acquisition &amp; Pre-processing</w:t>
            </w:r>
          </w:p>
        </w:tc>
        <w:tc>
          <w:tcPr/>
          <w:p>
            <w:pPr>
              <w:pStyle w:val="Compact"/>
              <w:jc w:val="left"/>
            </w:pPr>
            <w:r>
              <w:t xml:space="preserve">1.25</w:t>
            </w:r>
          </w:p>
        </w:tc>
        <w:tc>
          <w:tcPr/>
          <w:p>
            <w:pPr>
              <w:pStyle w:val="Compact"/>
              <w:jc w:val="left"/>
            </w:pPr>
            <w:r>
              <w:t xml:space="preserve">Scope 3, Category 1</w:t>
            </w:r>
          </w:p>
        </w:tc>
      </w:tr>
      <w:tr>
        <w:tc>
          <w:tcPr/>
          <w:p>
            <w:pPr>
              <w:pStyle w:val="Compact"/>
              <w:jc w:val="left"/>
            </w:pPr>
            <w:r>
              <w:t xml:space="preserve">Manufacturing / Production</w:t>
            </w:r>
          </w:p>
        </w:tc>
        <w:tc>
          <w:tcPr/>
          <w:p>
            <w:pPr>
              <w:pStyle w:val="Compact"/>
              <w:jc w:val="left"/>
            </w:pPr>
            <w:r>
              <w:t xml:space="preserve">1.55</w:t>
            </w:r>
          </w:p>
        </w:tc>
        <w:tc>
          <w:tcPr/>
          <w:p>
            <w:pPr>
              <w:pStyle w:val="Compact"/>
              <w:jc w:val="left"/>
            </w:pPr>
            <w:r>
              <w:t xml:space="preserve">Scope 2 / Scope 3, Category 3</w:t>
            </w:r>
          </w:p>
        </w:tc>
      </w:tr>
      <w:tr>
        <w:tc>
          <w:tcPr/>
          <w:p>
            <w:pPr>
              <w:pStyle w:val="Compact"/>
              <w:jc w:val="left"/>
            </w:pPr>
            <w:r>
              <w:t xml:space="preserve">Transport (Upstream &amp; Downstream)</w:t>
            </w:r>
          </w:p>
        </w:tc>
        <w:tc>
          <w:tcPr/>
          <w:p>
            <w:pPr>
              <w:pStyle w:val="Compact"/>
              <w:jc w:val="left"/>
            </w:pPr>
            <w:r>
              <w:t xml:space="preserve">12.57</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23.80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-0.90</w:t>
            </w:r>
          </w:p>
        </w:tc>
        <w:tc>
          <w:tcPr/>
          <w:p>
            <w:pPr>
              <w:pStyle w:val="Compact"/>
              <w:jc w:val="left"/>
            </w:pPr>
            <w:r>
              <w:t xml:space="preserve">Scope 3, Category 12</w:t>
            </w:r>
          </w:p>
        </w:tc>
      </w:tr>
      <w:tr>
        <w:tc>
          <w:tcPr/>
          <w:p>
            <w:pPr>
              <w:pStyle w:val="Compact"/>
              <w:jc w:val="left"/>
            </w:pPr>
            <w:r>
              <w:t xml:space="preserve">Total Product Carbon Footprint (PCF)</w:t>
            </w:r>
          </w:p>
        </w:tc>
        <w:tc>
          <w:tcPr/>
          <w:p>
            <w:pPr>
              <w:pStyle w:val="Compact"/>
              <w:jc w:val="left"/>
            </w:pPr>
            <w:r>
              <w:t xml:space="preserve">38.27</w:t>
            </w:r>
          </w:p>
        </w:tc>
        <w:tc>
          <w:tcPr/>
          <w:p>
            <w:pPr>
              <w:pStyle w:val="Compact"/>
            </w:pPr>
          </w:p>
        </w:tc>
      </w:tr>
    </w:tbl>
    <w:bookmarkEnd w:id="40"/>
    <w:bookmarkStart w:id="41" w:name="X46853a1f8172270e9f00252ab619f406734bbd6"/>
    <w:p>
      <w:pPr>
        <w:pStyle w:val="Heading3"/>
      </w:pPr>
      <w:r>
        <w:t xml:space="preserve">4.3 Emissions Categorization by GHG Protocol Scope</w:t>
      </w:r>
    </w:p>
    <w:p>
      <w:pPr>
        <w:numPr>
          <w:ilvl w:val="0"/>
          <w:numId w:val="1016"/>
        </w:numPr>
        <w:pStyle w:val="Compact"/>
      </w:pPr>
      <w:r>
        <w:rPr>
          <w:bCs/>
          <w:b/>
        </w:rPr>
        <w:t xml:space="preserve">Scope 1 (Direct Emissions):</w:t>
      </w:r>
      <w:r>
        <w:t xml:space="preserve"> </w:t>
      </w:r>
      <w:r>
        <w:t xml:space="preserve">Not explicitly quantifiable from provided data (e.g., direct fuel combustion at factory). Assumed negligible or captured within upstream/downstream Scope 3 categories or grid electricity Scope 2.</w:t>
      </w:r>
    </w:p>
    <w:p>
      <w:pPr>
        <w:numPr>
          <w:ilvl w:val="0"/>
          <w:numId w:val="1016"/>
        </w:numPr>
        <w:pStyle w:val="Compact"/>
      </w:pPr>
      <w:r>
        <w:rPr>
          <w:bCs/>
          <w:b/>
        </w:rPr>
        <w:t xml:space="preserve">Scope 2 (Purchased Energy Emissions):</w:t>
      </w:r>
    </w:p>
    <w:p>
      <w:pPr>
        <w:numPr>
          <w:ilvl w:val="1"/>
          <w:numId w:val="1017"/>
        </w:numPr>
        <w:pStyle w:val="Compact"/>
      </w:pPr>
      <w:r>
        <w:t xml:space="preserve">Manufacturing Electricity (non-renewable portion): 1.55 kgCO2e</w:t>
      </w:r>
    </w:p>
    <w:p>
      <w:pPr>
        <w:numPr>
          <w:ilvl w:val="0"/>
          <w:numId w:val="1016"/>
        </w:numPr>
        <w:pStyle w:val="Compact"/>
      </w:pPr>
      <w:r>
        <w:rPr>
          <w:bCs/>
          <w:b/>
        </w:rPr>
        <w:t xml:space="preserve">Scope 3 (Value Chain Emissions):</w:t>
      </w:r>
    </w:p>
    <w:p>
      <w:pPr>
        <w:numPr>
          <w:ilvl w:val="1"/>
          <w:numId w:val="1018"/>
        </w:numPr>
        <w:pStyle w:val="Compact"/>
      </w:pPr>
      <w:r>
        <w:t xml:space="preserve">Category 1 (Purchased Goods &amp; Services - Materials): 1.25 kgCO2e</w:t>
      </w:r>
    </w:p>
    <w:p>
      <w:pPr>
        <w:numPr>
          <w:ilvl w:val="1"/>
          <w:numId w:val="1018"/>
        </w:numPr>
        <w:pStyle w:val="Compact"/>
      </w:pPr>
      <w:r>
        <w:t xml:space="preserve">Category 3 (Fuel- and Energy-Related Activities Not in Scope 1 or 2 - Production Energy Upstream if applicable, or if Scope 2 is market-based): Part of 1.55 kgCO2e if manufacturing energy generation is not owned/controlled.</w:t>
      </w:r>
    </w:p>
    <w:p>
      <w:pPr>
        <w:numPr>
          <w:ilvl w:val="1"/>
          <w:numId w:val="1018"/>
        </w:numPr>
        <w:pStyle w:val="Compact"/>
      </w:pPr>
      <w:r>
        <w:t xml:space="preserve">Category 4 (Upstream Transportation &amp; Distribution): 0.07 kgCO2e (Primary Transport)</w:t>
      </w:r>
    </w:p>
    <w:p>
      <w:pPr>
        <w:numPr>
          <w:ilvl w:val="1"/>
          <w:numId w:val="1018"/>
        </w:numPr>
        <w:pStyle w:val="Compact"/>
      </w:pPr>
      <w:r>
        <w:t xml:space="preserve">Category 9 (Downstream Transportation &amp; Distribution): 12.50 kgCO2e (Last-Mile Delivery)</w:t>
      </w:r>
    </w:p>
    <w:p>
      <w:pPr>
        <w:numPr>
          <w:ilvl w:val="1"/>
          <w:numId w:val="1018"/>
        </w:numPr>
        <w:pStyle w:val="Compact"/>
      </w:pPr>
      <w:r>
        <w:t xml:space="preserve">Category 11 (Use of Sold Products): 23.80 kgCO2e</w:t>
      </w:r>
    </w:p>
    <w:p>
      <w:pPr>
        <w:numPr>
          <w:ilvl w:val="1"/>
          <w:numId w:val="1018"/>
        </w:numPr>
        <w:pStyle w:val="Compact"/>
      </w:pPr>
      <w:r>
        <w:t xml:space="preserve">Category 12 (End-of-Life Treatment of Sold Products): -0.90 kgCO2e</w:t>
      </w:r>
    </w:p>
    <w:p>
      <w:pPr>
        <w:pStyle w:val="FirstParagraph"/>
      </w:pPr>
      <w:r>
        <w:t xml:space="preserve">Total PCF (rounded):</w:t>
      </w:r>
      <w:r>
        <w:t xml:space="preserve"> </w:t>
      </w:r>
      <w:r>
        <w:rPr>
          <w:bCs/>
          <w:b/>
        </w:rPr>
        <w:t xml:space="preserve">38.27 kgCO2e/unit</w:t>
      </w:r>
    </w:p>
    <w:bookmarkEnd w:id="41"/>
    <w:bookmarkStart w:id="42" w:name="lsr-update-application"/>
    <w:p>
      <w:pPr>
        <w:pStyle w:val="Heading3"/>
      </w:pPr>
      <w:r>
        <w:t xml:space="preserve">4.4 2026 LSR Update Application</w:t>
      </w:r>
    </w:p>
    <w:p>
      <w:pPr>
        <w:pStyle w:val="FirstParagraph"/>
      </w:pPr>
      <w:r>
        <w:t xml:space="preserve">The Land Sector and Removals (LSR) Standard (2026 update) aims to standardize the accounting of GHG emissions and removals from land use, land-use change, and forestry. For</w:t>
      </w:r>
      <w:r>
        <w:t xml:space="preserve"> </w:t>
      </w:r>
      <w:r>
        <w:t xml:space="preserve">mwywmufftt</w:t>
      </w:r>
      <w:r>
        <w:t xml:space="preserve">, direct application of the LSR standard would require detailed data on land use associated with raw material extraction (e.g., bio-based plastics, timber) or land transformation for manufacturing facilities. Since the primary material is plastic from the provided BOM, and no specific land-use change data was available for its sourcing, a full quantitative application of the LSR standard is not performed in this report. However, uviyzdezdh is committed to incorporating such data as it becomes available through enhanced supply chain transparency, particularly for any bio-based components or land-intensive processes.</w:t>
      </w:r>
    </w:p>
    <w:bookmarkEnd w:id="42"/>
    <w:bookmarkStart w:id="43" w:name="scope-3-compliance"/>
    <w:p>
      <w:pPr>
        <w:pStyle w:val="Heading3"/>
      </w:pPr>
      <w:r>
        <w:t xml:space="preserve">4.5 Scope 3 Compliance</w:t>
      </w:r>
    </w:p>
    <w:p>
      <w:pPr>
        <w:pStyle w:val="FirstParagraph"/>
      </w:pPr>
      <w:r>
        <w:t xml:space="preserve">This analysis ensures substantial coverage for Scope 3 emissions, aiming for the 95% threshold required by 2026. By comprehensively including materials, manufacturing energy not covered by Scope 2, upstream and downstream transportation, the use phase, and end-of-life, the report captures significant portions of the product\'s value chain emissions. Further granular data would enhance accuracy and potentially uncover additional minor sources to ensure full compliance with the 95% coverage target.</w:t>
      </w:r>
    </w:p>
    <w:p>
      <w:r>
        <w:pict>
          <v:rect style="width:0;height:1.5pt" o:hralign="center" o:hrstd="t" o:hr="t"/>
        </w:pict>
      </w:r>
    </w:p>
    <w:bookmarkEnd w:id="43"/>
    <w:bookmarkEnd w:id="44"/>
    <w:bookmarkStart w:id="48" w:name="review-reporting"/>
    <w:p>
      <w:pPr>
        <w:pStyle w:val="Heading2"/>
      </w:pPr>
      <w:r>
        <w:t xml:space="preserve">5. Review &amp; Reporting</w:t>
      </w:r>
    </w:p>
    <w:bookmarkStart w:id="45" w:name="hotspots-identification"/>
    <w:p>
      <w:pPr>
        <w:pStyle w:val="Heading3"/>
      </w:pPr>
      <w:r>
        <w:t xml:space="preserve">5.1 Hotspots Identification</w:t>
      </w:r>
    </w:p>
    <w:p>
      <w:pPr>
        <w:pStyle w:val="FirstParagraph"/>
      </w:pPr>
      <w:r>
        <w:t xml:space="preserve">Based on the calculations, the primary emissions hotspots for</w:t>
      </w:r>
      <w:r>
        <w:t xml:space="preserve"> </w:t>
      </w:r>
      <w:r>
        <w:t xml:space="preserve">mwywmufftt</w:t>
      </w:r>
      <w:r>
        <w:t xml:space="preserve"> </w:t>
      </w:r>
      <w:r>
        <w:t xml:space="preserve">are:</w:t>
      </w:r>
    </w:p>
    <w:p>
      <w:pPr>
        <w:numPr>
          <w:ilvl w:val="0"/>
          <w:numId w:val="1019"/>
        </w:numPr>
        <w:pStyle w:val="Compact"/>
      </w:pPr>
      <w:r>
        <w:rPr>
          <w:bCs/>
          <w:b/>
        </w:rPr>
        <w:t xml:space="preserve">Use Phase (23.80 kgCO2e):</w:t>
      </w:r>
      <w:r>
        <w:t xml:space="preserve"> </w:t>
      </w:r>
      <w:r>
        <w:t xml:space="preserve">This is the most significant contributor, primarily due to the electricity consumption over the product\'s 5-year lifespan.</w:t>
      </w:r>
    </w:p>
    <w:p>
      <w:pPr>
        <w:numPr>
          <w:ilvl w:val="0"/>
          <w:numId w:val="1019"/>
        </w:numPr>
        <w:pStyle w:val="Compact"/>
      </w:pPr>
      <w:r>
        <w:rPr>
          <w:bCs/>
          <w:b/>
        </w:rPr>
        <w:t xml:space="preserve">Downstream Transportation (12.50 kgCO2e):</w:t>
      </w:r>
      <w:r>
        <w:t xml:space="preserve"> </w:t>
      </w:r>
      <w:r>
        <w:t xml:space="preserve">Last-mile delivery via parcel delivery vans accounts for a substantial portion of the transport emissions.</w:t>
      </w:r>
    </w:p>
    <w:p>
      <w:pPr>
        <w:numPr>
          <w:ilvl w:val="0"/>
          <w:numId w:val="1019"/>
        </w:numPr>
        <w:pStyle w:val="Compact"/>
      </w:pPr>
      <w:r>
        <w:rPr>
          <w:bCs/>
          <w:b/>
        </w:rPr>
        <w:t xml:space="preserve">Manufacturing/Production (1.55 kgCO2e):</w:t>
      </w:r>
      <w:r>
        <w:t xml:space="preserve"> </w:t>
      </w:r>
      <w:r>
        <w:t xml:space="preserve">The grid electricity mix in China for the non-renewable portion of production energy is a notable factor.</w:t>
      </w:r>
    </w:p>
    <w:p>
      <w:pPr>
        <w:numPr>
          <w:ilvl w:val="0"/>
          <w:numId w:val="1019"/>
        </w:numPr>
        <w:pStyle w:val="Compact"/>
      </w:pPr>
      <w:r>
        <w:rPr>
          <w:bCs/>
          <w:b/>
        </w:rPr>
        <w:t xml:space="preserve">Materials (1.25 kgCO2e):</w:t>
      </w:r>
      <w:r>
        <w:t xml:space="preserve"> </w:t>
      </w:r>
      <w:r>
        <w:t xml:space="preserve">The production of the plastic casing is a foundational impact.</w:t>
      </w:r>
    </w:p>
    <w:bookmarkEnd w:id="45"/>
    <w:bookmarkStart w:id="46" w:name="reliability-limitations"/>
    <w:p>
      <w:pPr>
        <w:pStyle w:val="Heading3"/>
      </w:pPr>
      <w:r>
        <w:t xml:space="preserve">5.2 Reliability &amp; Limitations</w:t>
      </w:r>
    </w:p>
    <w:p>
      <w:pPr>
        <w:pStyle w:val="FirstParagraph"/>
      </w:pPr>
      <w:r>
        <w:t xml:space="preserve">The reliability of this PCF analysis is high for the parameters provided, as specific data points like BOM total carbon, energy intensity, and product lifespan were directly incorporated. However, limitations include:</w:t>
      </w:r>
    </w:p>
    <w:p>
      <w:pPr>
        <w:numPr>
          <w:ilvl w:val="0"/>
          <w:numId w:val="1020"/>
        </w:numPr>
        <w:pStyle w:val="Compact"/>
      </w:pPr>
      <w:r>
        <w:rPr>
          <w:bCs/>
          <w:b/>
        </w:rPr>
        <w:t xml:space="preserve">Secondary Emission Factors:</w:t>
      </w:r>
      <w:r>
        <w:t xml:space="preserve"> </w:t>
      </w:r>
      <w:r>
        <w:t xml:space="preserve">Reliance on generic, albeit industry-standard, emission factors for transport modes, electricity grids (where primary data was not specified for generation mix), and EoL scenarios.</w:t>
      </w:r>
    </w:p>
    <w:p>
      <w:pPr>
        <w:numPr>
          <w:ilvl w:val="0"/>
          <w:numId w:val="1020"/>
        </w:numPr>
        <w:pStyle w:val="Compact"/>
      </w:pPr>
      <w:r>
        <w:rPr>
          <w:bCs/>
          <w:b/>
        </w:rPr>
        <w:t xml:space="preserve">BOM Detail:</w:t>
      </w:r>
      <w:r>
        <w:t xml:space="preserve"> </w:t>
      </w:r>
      <w:r>
        <w:t xml:space="preserve">The provided BOM `hemolsgs` was interpreted as a single representative material item due to the input format. A multi-item, detailed BOM would enhance accuracy further.</w:t>
      </w:r>
    </w:p>
    <w:p>
      <w:pPr>
        <w:numPr>
          <w:ilvl w:val="0"/>
          <w:numId w:val="1020"/>
        </w:numPr>
        <w:pStyle w:val="Compact"/>
      </w:pPr>
      <w:r>
        <w:rPr>
          <w:bCs/>
          <w:b/>
        </w:rPr>
        <w:t xml:space="preserve">LSR Standard:</w:t>
      </w:r>
      <w:r>
        <w:t xml:space="preserve"> </w:t>
      </w:r>
      <w:r>
        <w:t xml:space="preserve">Full quantification of land-use impacts under the 2026 LSR Standard requires more specific data on raw material origins and land transformations.</w:t>
      </w:r>
    </w:p>
    <w:p>
      <w:pPr>
        <w:numPr>
          <w:ilvl w:val="0"/>
          <w:numId w:val="1020"/>
        </w:numPr>
        <w:pStyle w:val="Compact"/>
      </w:pPr>
      <w:r>
        <w:rPr>
          <w:bCs/>
          <w:b/>
        </w:rPr>
        <w:t xml:space="preserve">Scope 3 Completeness:</w:t>
      </w:r>
      <w:r>
        <w:t xml:space="preserve"> </w:t>
      </w:r>
      <w:r>
        <w:t xml:space="preserve">While significant categories are covered, achieving 100% data collection for all Scope 3 categories can be challenging and may require further deep dives into indirect supplier emissions.</w:t>
      </w:r>
    </w:p>
    <w:bookmarkEnd w:id="46"/>
    <w:bookmarkStart w:id="47" w:name="recommendations-for-decarbonization"/>
    <w:p>
      <w:pPr>
        <w:pStyle w:val="Heading3"/>
      </w:pPr>
      <w:r>
        <w:t xml:space="preserve">5.3 Recommendations for Decarbonization</w:t>
      </w:r>
    </w:p>
    <w:p>
      <w:pPr>
        <w:pStyle w:val="FirstParagraph"/>
      </w:pPr>
      <w:r>
        <w:t xml:space="preserve">To reduce the carbon footprint of</w:t>
      </w:r>
      <w:r>
        <w:t xml:space="preserve"> </w:t>
      </w:r>
      <w:r>
        <w:t xml:space="preserve">mwywmufftt</w:t>
      </w:r>
      <w:r>
        <w:t xml:space="preserve">,</w:t>
      </w:r>
      <w:r>
        <w:t xml:space="preserve"> </w:t>
      </w:r>
      <w:r>
        <w:t xml:space="preserve">uviyzdezdh</w:t>
      </w:r>
      <w:r>
        <w:t xml:space="preserve"> </w:t>
      </w:r>
      <w:r>
        <w:t xml:space="preserve">should consider:</w:t>
      </w:r>
    </w:p>
    <w:p>
      <w:pPr>
        <w:numPr>
          <w:ilvl w:val="0"/>
          <w:numId w:val="1021"/>
        </w:numPr>
        <w:pStyle w:val="Compact"/>
      </w:pPr>
      <w:r>
        <w:rPr>
          <w:bCs/>
          <w:b/>
        </w:rPr>
        <w:t xml:space="preserve">Optimizing Use Phase:</w:t>
      </w:r>
      <w:r>
        <w:t xml:space="preserve"> </w:t>
      </w:r>
      <w:r>
        <w:t xml:space="preserve">Investigate options for reducing product energy consumption during its lifespan, exploring more energy-efficient designs, or promoting renewable energy use by end-users.</w:t>
      </w:r>
    </w:p>
    <w:p>
      <w:pPr>
        <w:numPr>
          <w:ilvl w:val="0"/>
          <w:numId w:val="1021"/>
        </w:numPr>
        <w:pStyle w:val="Compact"/>
      </w:pPr>
      <w:r>
        <w:rPr>
          <w:bCs/>
          <w:b/>
        </w:rPr>
        <w:t xml:space="preserve">Enhancing Downstream Logistics:</w:t>
      </w:r>
      <w:r>
        <w:t xml:space="preserve"> </w:t>
      </w:r>
      <w:r>
        <w:t xml:space="preserve">Optimize last-mile delivery routes, explore lower-emission delivery vehicles (e.g., electric vans), or incentivize local pickup options.</w:t>
      </w:r>
    </w:p>
    <w:p>
      <w:pPr>
        <w:numPr>
          <w:ilvl w:val="0"/>
          <w:numId w:val="1021"/>
        </w:numPr>
        <w:pStyle w:val="Compact"/>
      </w:pPr>
      <w:r>
        <w:rPr>
          <w:bCs/>
          <w:b/>
        </w:rPr>
        <w:t xml:space="preserve">Transitioning to Renewable Energy in Production:</w:t>
      </w:r>
      <w:r>
        <w:t xml:space="preserve"> </w:t>
      </w:r>
      <w:r>
        <w:t xml:space="preserve">Increase the percentage of renewable energy beyond 75% at the China production facility, or ensure procurement of high-quality renewable energy credits.</w:t>
      </w:r>
    </w:p>
    <w:p>
      <w:pPr>
        <w:numPr>
          <w:ilvl w:val="0"/>
          <w:numId w:val="1021"/>
        </w:numPr>
        <w:pStyle w:val="Compact"/>
      </w:pPr>
      <w:r>
        <w:rPr>
          <w:bCs/>
          <w:b/>
        </w:rPr>
        <w:t xml:space="preserve">Material Innovation:</w:t>
      </w:r>
      <w:r>
        <w:t xml:space="preserve"> </w:t>
      </w:r>
      <w:r>
        <w:t xml:space="preserve">Explore alternative, lower-carbon materials for the plastic casing, or materials with higher recycled content and lower inherent emission factors.</w:t>
      </w:r>
    </w:p>
    <w:p>
      <w:pPr>
        <w:numPr>
          <w:ilvl w:val="0"/>
          <w:numId w:val="1021"/>
        </w:numPr>
        <w:pStyle w:val="Compact"/>
      </w:pPr>
      <w:r>
        <w:rPr>
          <w:bCs/>
          <w:b/>
        </w:rPr>
        <w:t xml:space="preserve">Strengthening Circular Economy Initiatives:</w:t>
      </w:r>
      <w:r>
        <w:t xml:space="preserve"> </w:t>
      </w:r>
      <w:r>
        <w:t xml:space="preserve">Expand and promote the "Product take-back and refurbishment program" to maximize material recovery and extend product utility, further reducing the need for virgin materials.</w:t>
      </w:r>
    </w:p>
    <w:p>
      <w:r>
        <w:pict>
          <v:rect style="width:0;height:1.5pt" o:hralign="center" o:hrstd="t" o:hr="t"/>
        </w:pict>
      </w:r>
    </w:p>
    <w:bookmarkEnd w:id="47"/>
    <w:bookmarkEnd w:id="48"/>
    <w:bookmarkStart w:id="49" w:name="disclaimer"/>
    <w:p>
      <w:pPr>
        <w:pStyle w:val="Heading2"/>
      </w:pPr>
      <w:r>
        <w:t xml:space="preserve">Disclaimer</w:t>
      </w:r>
    </w:p>
    <w:p>
      <w:pPr>
        <w:pStyle w:val="FirstParagraph"/>
      </w:pPr>
      <w:r>
        <w:t xml:space="preserve">This report is provided for informational purposes only and is based on the data and parameters supplied by the client, combined with publicly available industry-standard emission factors and best practice methodologies. It is intended to guide internal decision-making regarding sustainability strategies and product development. While all reasonable efforts have been made to ensure the accuracy and completeness of the data and analysis,</w:t>
      </w:r>
      <w:r>
        <w:t xml:space="preserve"> </w:t>
      </w:r>
      <w:r>
        <w:t xml:space="preserve">lduuikzxlt</w:t>
      </w:r>
      <w:r>
        <w:t xml:space="preserve"> </w:t>
      </w:r>
      <w:r>
        <w:t xml:space="preserve">and</w:t>
      </w:r>
      <w:r>
        <w:t xml:space="preserve"> </w:t>
      </w:r>
      <w:r>
        <w:t xml:space="preserve">uviyzdezdh</w:t>
      </w:r>
      <w:r>
        <w:t xml:space="preserve"> </w:t>
      </w:r>
      <w:r>
        <w:t xml:space="preserve">cannot be held responsible for any decisions made or actions taken based solely on the information presented herein. Further detailed studies, primary data collection, and expert verification may be required for specific applications or external reporting purposes.</w:t>
      </w:r>
    </w:p>
    <w:p>
      <w:pPr>
        <w:pStyle w:val="BodyText"/>
      </w:pPr>
      <w:r>
        <w:t xml:space="preserve">Confidential - Internal Use Only</w:t>
      </w:r>
    </w:p>
    <w:p>
      <w:pPr>
        <w:pStyle w:val="BodyText"/>
      </w:pPr>
      <w:r>
        <w:t xml:space="preserve">© 2026 uviyzdezdh. All rights reserved.</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mwywmufftt</dc:title>
  <dc:creator/>
  <dc:description>High-detail Product Carbon Footprint (PCF) analysis report for mwywmufftt by lduuikzxlt, Senior Sustainability Consultant at uviyzdezdh, adhering to GHG Protocol and 2026 LSR Update.</dc:description>
  <dc:language>en</dc:language>
  <cp:keywords/>
  <dcterms:created xsi:type="dcterms:W3CDTF">2026-05-30T11:31:41Z</dcterms:created>
  <dcterms:modified xsi:type="dcterms:W3CDTF">2026-05-30T11:31:41Z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