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mwwhhxiyuv</w:t>
      </w:r>
    </w:p>
    <w:p>
      <w:pPr>
        <w:pStyle w:val="FirstParagraph"/>
      </w:pPr>
      <w:r>
        <w:t xml:space="preserve">carboncalcpcf.com</w:t>
      </w:r>
    </w:p>
    <w:bookmarkStart w:id="20" w:name="product-carbon-footprint-analysis-report"/>
    <w:p>
      <w:pPr>
        <w:pStyle w:val="Heading1"/>
      </w:pPr>
      <w:r>
        <w:t xml:space="preserve">Product Carbon Footprint Analysis Report</w:t>
      </w:r>
    </w:p>
    <w:bookmarkEnd w:id="20"/>
    <w:bookmarkStart w:id="21" w:name="for-mwwhhxiyuv"/>
    <w:p>
      <w:pPr>
        <w:pStyle w:val="Heading1"/>
      </w:pPr>
      <w:r>
        <w:t xml:space="preserve">for mwwhhxiyuv</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mplfplsrmr</w:t>
      </w:r>
    </w:p>
    <w:p>
      <w:pPr>
        <w:pStyle w:val="BodyText"/>
      </w:pPr>
      <w:r>
        <w:rPr>
          <w:bCs/>
          <w:b/>
        </w:rPr>
        <w:t xml:space="preserve">Senior Sustainability Consultant:</w:t>
      </w:r>
      <w:r>
        <w:t xml:space="preserve"> </w:t>
      </w:r>
      <w:r>
        <w:t xml:space="preserve">ijonujujlt</w:t>
      </w:r>
    </w:p>
    <w:p>
      <w:pPr>
        <w:pStyle w:val="BodyText"/>
      </w:pPr>
      <w:r>
        <w:t xml:space="preserve">This report is generated based on available data and industry standards. While every effort has been made to ensure accuracy and adherence to established methodologies, the results are indicative and subject to the limitations of data availability and inherent assumptions in life cycle assessments.</w:t>
      </w:r>
    </w:p>
    <w:bookmarkEnd w:id="21"/>
    <w:bookmarkStart w:id="22" w:name="Xfed86083c04d1dc59e6fda298cce86eb93524b5"/>
    <w:p>
      <w:pPr>
        <w:pStyle w:val="Heading1"/>
      </w:pPr>
      <w:r>
        <w:t xml:space="preserve">Product Carbon Footprint Analysis Report for mwwhhxiyuv</w:t>
      </w:r>
    </w:p>
    <w:p>
      <w:pPr>
        <w:pStyle w:val="FirstParagraph"/>
      </w:pPr>
      <w:r>
        <w:rPr>
          <w:bCs/>
          <w:b/>
        </w:rPr>
        <w:t xml:space="preserve">Generated Date:</w:t>
      </w:r>
      <w:r>
        <w:t xml:space="preserve"> </w:t>
      </w:r>
      <w:r>
        <w:t xml:space="preserve">May 19, 2026</w:t>
      </w:r>
    </w:p>
    <w:p>
      <w:pPr>
        <w:pStyle w:val="BodyText"/>
      </w:pPr>
      <w:r>
        <w:rPr>
          <w:bCs/>
          <w:b/>
        </w:rPr>
        <w:t xml:space="preserve">Senior Sustainability Consultant:</w:t>
      </w:r>
      <w:r>
        <w:t xml:space="preserve"> </w:t>
      </w:r>
      <w:r>
        <w:t xml:space="preserve">ijonujujlt</w:t>
      </w:r>
    </w:p>
    <w:p>
      <w:pPr>
        <w:pStyle w:val="BodyText"/>
      </w:pPr>
      <w:r>
        <w:rPr>
          <w:bCs/>
          <w:b/>
        </w:rPr>
        <w:t xml:space="preserve">Company:</w:t>
      </w:r>
      <w:r>
        <w:t xml:space="preserve"> </w:t>
      </w:r>
      <w:r>
        <w:t xml:space="preserve">mplfplsrmr</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mwwhhxiyuv</w:t>
      </w:r>
      <w:r>
        <w:t xml:space="preserve">, manufactured by</w:t>
      </w:r>
      <w:r>
        <w:t xml:space="preserve"> </w:t>
      </w:r>
      <w:r>
        <w:rPr>
          <w:bCs/>
          <w:b/>
        </w:rPr>
        <w:t xml:space="preserve">mplfplsrmr</w:t>
      </w:r>
      <w:r>
        <w:t xml:space="preserve">. As a Senior Sustainability Consultant specializing in the GHG Protocol, this analysis has been conducted following the GHG Protocol standards, with particular attention to the 2026 updates regarding the Land Sector and Removals (LSR) Standard and the imperative for at least 95% Scope 3 emissions coverage. The assessment covers the entire product lifecycle from raw material acquisition to end-of-life, providing a comprehensive understanding of emissions hotspots and opportunities for reduction. While the primary system boundary is \'factory_gate\', the analysis extends to the use phase and end-of-life scenarios as per specific requirements, providing a holistic cradle-to-grave perspective.</w:t>
      </w:r>
    </w:p>
    <w:p>
      <w:r>
        <w:pict>
          <v:rect style="width:0;height:1.5pt" o:hralign="center" o:hrstd="t" o:hr="t"/>
        </w:pict>
      </w:r>
    </w:p>
    <w:bookmarkEnd w:id="23"/>
    <w:bookmarkStart w:id="24" w:name="defining-the-scope"/>
    <w:p>
      <w:pPr>
        <w:pStyle w:val="Heading2"/>
      </w:pPr>
      <w:r>
        <w:t xml:space="preserve">1. Defining the Scope</w:t>
      </w:r>
    </w:p>
    <w:p>
      <w:pPr>
        <w:pStyle w:val="FirstParagraph"/>
      </w:pPr>
      <w:r>
        <w:t xml:space="preserve">The initial step in this Product Carbon Footprint (PCF) analysis involves clearly defining the parameters that govern the assessment, ensuring consistency and comparability.</w:t>
      </w:r>
    </w:p>
    <w:p>
      <w:pPr>
        <w:numPr>
          <w:ilvl w:val="0"/>
          <w:numId w:val="1001"/>
        </w:numPr>
        <w:pStyle w:val="Compact"/>
      </w:pPr>
      <w:r>
        <w:rPr>
          <w:bCs/>
          <w:b/>
        </w:rPr>
        <w:t xml:space="preserve">Functional Unit:</w:t>
      </w:r>
      <w:r>
        <w:t xml:space="preserve"> </w:t>
      </w:r>
      <w:r>
        <w:t xml:space="preserve">The reference unit for this PCF is</w:t>
      </w:r>
      <w:r>
        <w:t xml:space="preserve"> </w:t>
      </w:r>
      <w:r>
        <w:rPr>
          <w:bCs/>
          <w:b/>
        </w:rPr>
        <w:t xml:space="preserve">1.0 unit</w:t>
      </w:r>
      <w:r>
        <w:t xml:space="preserve"> </w:t>
      </w:r>
      <w:r>
        <w:t xml:space="preserve">of mwwhhxiyuv.</w:t>
      </w:r>
    </w:p>
    <w:p>
      <w:pPr>
        <w:numPr>
          <w:ilvl w:val="0"/>
          <w:numId w:val="1001"/>
        </w:numPr>
        <w:pStyle w:val="Compact"/>
      </w:pPr>
      <w:r>
        <w:rPr>
          <w:bCs/>
          <w:b/>
        </w:rPr>
        <w:t xml:space="preserve">System Boundary:</w:t>
      </w:r>
      <w:r>
        <w:t xml:space="preserve"> </w:t>
      </w:r>
      <w:r>
        <w:t xml:space="preserve">The primary system boundary for this analysis is</w:t>
      </w:r>
      <w:r>
        <w:t xml:space="preserve"> </w:t>
      </w:r>
      <w:r>
        <w:rPr>
          <w:bCs/>
          <w:b/>
        </w:rPr>
        <w:t xml:space="preserve">factory_gate</w:t>
      </w:r>
      <w:r>
        <w:t xml:space="preserve">. However, to provide a complete cradle-to-grave perspective as per the requirements, the analysis extends to include the use phase and end-of-life scenarios.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primary outbound logistics and potential use phase location in Europe)</w:t>
      </w:r>
    </w:p>
    <w:p>
      <w:pPr>
        <w:numPr>
          <w:ilvl w:val="0"/>
          <w:numId w:val="1001"/>
        </w:numPr>
        <w:pStyle w:val="Compact"/>
      </w:pPr>
      <w:r>
        <w:rPr>
          <w:bCs/>
          <w:b/>
        </w:rPr>
        <w:t xml:space="preserve">Accounting Standard:</w:t>
      </w:r>
      <w:r>
        <w:t xml:space="preserve"> </w:t>
      </w:r>
      <w:r>
        <w:t xml:space="preserve">All calculations and reporting strictly adhere to the</w:t>
      </w:r>
      <w:r>
        <w:t xml:space="preserve"> </w:t>
      </w:r>
      <w:r>
        <w:rPr>
          <w:bCs/>
          <w:b/>
        </w:rPr>
        <w:t xml:space="preserve">GHG Protocol</w:t>
      </w:r>
      <w:r>
        <w:t xml:space="preserve">, encompassing Scope 1, Scope 2, and Scope 3 emissions categories.</w:t>
      </w:r>
    </w:p>
    <w:p>
      <w:pPr>
        <w:numPr>
          <w:ilvl w:val="0"/>
          <w:numId w:val="1001"/>
        </w:numPr>
        <w:pStyle w:val="Compact"/>
      </w:pPr>
      <w:r>
        <w:rPr>
          <w:bCs/>
          <w:b/>
        </w:rPr>
        <w:t xml:space="preserve">Allocation:</w:t>
      </w:r>
      <w:r>
        <w:t xml:space="preserve"> </w:t>
      </w:r>
      <w:r>
        <w:t xml:space="preserve">Emissions are allocated to the functional unit based on mass for material inputs and energy consumption directly attributable to the production and use of the product. Recycling benefits are accounted for using an avoided burden approach at the end-of-life stage.</w:t>
      </w:r>
    </w:p>
    <w:p>
      <w:r>
        <w:pict>
          <v:rect style="width:0;height:1.5pt" o:hralign="center" o:hrstd="t" o:hr="t"/>
        </w:pict>
      </w:r>
    </w:p>
    <w:bookmarkEnd w:id="24"/>
    <w:bookmarkStart w:id="30" w:name="mapping-the-lifecycle-3.-data-collection"/>
    <w:p>
      <w:pPr>
        <w:pStyle w:val="Heading2"/>
      </w:pPr>
      <w:r>
        <w:t xml:space="preserve">2. Mapping the Lifecycle &amp; 3. Data Collection</w:t>
      </w:r>
    </w:p>
    <w:p>
      <w:pPr>
        <w:pStyle w:val="FirstParagraph"/>
      </w:pPr>
      <w:r>
        <w:t xml:space="preserve">This section details the various lifecycle stages considered for mwwhhxiyuv and the data collected or estimated for each stage. The analysis integrates specific data provided, alongside industry-standard emission factors from reputable sources such as Ecoinvent and DEFRA.</w:t>
      </w:r>
    </w:p>
    <w:bookmarkStart w:id="25" w:name="X70f959ebbd97a10b9f2d9651150c8000d99538c"/>
    <w:p>
      <w:pPr>
        <w:pStyle w:val="Heading3"/>
      </w:pPr>
      <w:r>
        <w:t xml:space="preserve">Material Acquisition and Manufacturing (Scope 3, Category 1 - Purchased Goods &amp; Services)</w:t>
      </w:r>
    </w:p>
    <w:p>
      <w:pPr>
        <w:pStyle w:val="FirstParagraph"/>
      </w:pPr>
      <w:r>
        <w:t xml:space="preserve">The Bill of Materials (BOM) for mwwhhxiyuv, designated as</w:t>
      </w:r>
      <w:r>
        <w:t xml:space="preserve"> </w:t>
      </w:r>
      <w:r>
        <w:rPr>
          <w:bCs/>
          <w:b/>
        </w:rPr>
        <w:t xml:space="preserve">hzywufhf</w:t>
      </w:r>
      <w:r>
        <w:t xml:space="preserve">, provides high-accuracy material impact calculation. For the purpose of this report, the following illustrative breakdown of materials is used, consistent with the specified BOM format (ID, Description, Category, Process, Qty, Unit, Emission Factor, Total Carbon). The "Total Carbon" values are calculated based on the provided quantities and emission factors.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M002</w:t>
            </w:r>
          </w:p>
        </w:tc>
        <w:tc>
          <w:tcPr/>
          <w:p>
            <w:pPr>
              <w:pStyle w:val="Compact"/>
              <w:jc w:val="left"/>
            </w:pPr>
            <w:r>
              <w:t xml:space="preserve">Plastic Components (e.g.,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M003</w:t>
            </w:r>
          </w:p>
        </w:tc>
        <w:tc>
          <w:tcPr/>
          <w:p>
            <w:pPr>
              <w:pStyle w:val="Compact"/>
              <w:jc w:val="left"/>
            </w:pPr>
            <w:r>
              <w:t xml:space="preserve">Circuit Board Assembly</w:t>
            </w:r>
          </w:p>
        </w:tc>
        <w:tc>
          <w:tcPr/>
          <w:p>
            <w:pPr>
              <w:pStyle w:val="Compact"/>
              <w:jc w:val="left"/>
            </w:pPr>
            <w:r>
              <w:t xml:space="preserve">Electronics</w:t>
            </w:r>
          </w:p>
        </w:tc>
        <w:tc>
          <w:tcPr/>
          <w:p>
            <w:pPr>
              <w:pStyle w:val="Compact"/>
              <w:jc w:val="left"/>
            </w:pPr>
            <w:r>
              <w:t xml:space="preserve">Assembly &amp; Fabrication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M005</w:t>
            </w:r>
          </w:p>
        </w:tc>
        <w:tc>
          <w:tcPr/>
          <w:p>
            <w:pPr>
              <w:pStyle w:val="Compact"/>
              <w:jc w:val="left"/>
            </w:pPr>
            <w:r>
              <w:t xml:space="preserve">Packaging (Corrugated Cardboard)</w:t>
            </w:r>
          </w:p>
        </w:tc>
        <w:tc>
          <w:tcPr/>
          <w:p>
            <w:pPr>
              <w:pStyle w:val="Compact"/>
              <w:jc w:val="left"/>
            </w:pPr>
            <w:r>
              <w:t xml:space="preserve">Paper/Wood</w:t>
            </w:r>
          </w:p>
        </w:tc>
        <w:tc>
          <w:tcPr/>
          <w:p>
            <w:pPr>
              <w:pStyle w:val="Compact"/>
              <w:jc w:val="left"/>
            </w:pPr>
            <w:r>
              <w:t xml:space="preserve">Manufacturing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r>
        <w:tc>
          <w:tcPr>
            <w:gridSpan w:val="7"/>
          </w:tcPr>
          <w:p>
            <w:pPr>
              <w:pStyle w:val="Compact"/>
              <w:jc w:val="right"/>
            </w:pPr>
            <w:r>
              <w:rPr>
                <w:bCs/>
                <w:b/>
              </w:rPr>
              <w:t xml:space="preserve">Subtotal Material Impact:</w:t>
            </w:r>
          </w:p>
        </w:tc>
        <w:tc>
          <w:tcPr/>
          <w:p>
            <w:pPr>
              <w:pStyle w:val="Compact"/>
              <w:jc w:val="left"/>
            </w:pPr>
            <w:r>
              <w:rPr>
                <w:bCs/>
                <w:b/>
              </w:rPr>
              <w:t xml:space="preserve">7.49 kgCO2e</w:t>
            </w:r>
          </w:p>
        </w:tc>
      </w:tr>
    </w:tbl>
    <w:p>
      <w:pPr>
        <w:pStyle w:val="BodyText"/>
      </w:pPr>
      <w:r>
        <w:rPr>
          <w:iCs/>
          <w:i/>
        </w:rPr>
        <w:t xml:space="preserve">Note: The "Emission Factor" values used in this table are illustrative and represent typical industry averages for the specified processes and materials, drawing from sources like OpenCO2.net and Climatiq, which are often based on Ecoinvent or similar LCA databases. For instance, primary aluminum casting can have an EF around 7.5 kgCO2e/kg, plastic injection molding including resin production around 3.0 kgCO2e/kg, and cardboard manufacturing around 0.8 kgCO2e/kg for virgin material. For circuit boards, simplified values per kg are used from research data.</w:t>
      </w:r>
    </w:p>
    <w:bookmarkEnd w:id="25"/>
    <w:bookmarkStart w:id="26" w:name="Xef05e4511ad01d3908f681dbb06ba24b58f1b66"/>
    <w:p>
      <w:pPr>
        <w:pStyle w:val="Heading3"/>
      </w:pPr>
      <w:r>
        <w:t xml:space="preserve">Production Phase (Scope 2 - Purchased Electricity)</w:t>
      </w:r>
    </w:p>
    <w:p>
      <w:pPr>
        <w:pStyle w:val="FirstParagraph"/>
      </w:pPr>
      <w:r>
        <w:t xml:space="preserve">The manufacturing process for mwwhhxiyuv occurs in China. Energy consumption for this phase is a key factor in its footprint.</w:t>
      </w:r>
    </w:p>
    <w:p>
      <w:pPr>
        <w:numPr>
          <w:ilvl w:val="0"/>
          <w:numId w:val="1003"/>
        </w:numPr>
        <w:pStyle w:val="Compact"/>
      </w:pPr>
      <w:r>
        <w:rPr>
          <w:bCs/>
          <w:b/>
        </w:rPr>
        <w:t xml:space="preserve">Renewable Energy Usage:</w:t>
      </w:r>
      <w:r>
        <w:t xml:space="preserve"> </w:t>
      </w:r>
      <w:r>
        <w:rPr>
          <w:bCs/>
          <w:b/>
        </w:rPr>
        <w:t xml:space="preserve">umkfmdhsyn</w:t>
      </w:r>
      <w:r>
        <w:t xml:space="preserve"> </w:t>
      </w:r>
      <w:r>
        <w:t xml:space="preserve">(assumed 70% renewable energy procurement).</w:t>
      </w:r>
    </w:p>
    <w:p>
      <w:pPr>
        <w:numPr>
          <w:ilvl w:val="0"/>
          <w:numId w:val="1003"/>
        </w:numPr>
        <w:pStyle w:val="Compact"/>
      </w:pPr>
      <w:r>
        <w:rPr>
          <w:bCs/>
          <w:b/>
        </w:rPr>
        <w:t xml:space="preserve">Energy Intensity (kWh/unit):</w:t>
      </w:r>
      <w:r>
        <w:t xml:space="preserve"> </w:t>
      </w:r>
      <w:r>
        <w:rPr>
          <w:bCs/>
          <w:b/>
        </w:rPr>
        <w:t xml:space="preserve">sxnskyqewr</w:t>
      </w:r>
      <w:r>
        <w:t xml:space="preserve"> </w:t>
      </w:r>
      <w:r>
        <w:t xml:space="preserve">(assumed 10 kWh/unit).</w:t>
      </w:r>
    </w:p>
    <w:p>
      <w:pPr>
        <w:numPr>
          <w:ilvl w:val="0"/>
          <w:numId w:val="1003"/>
        </w:numPr>
        <w:pStyle w:val="Compact"/>
      </w:pPr>
      <w:r>
        <w:rPr>
          <w:bCs/>
          <w:b/>
        </w:rPr>
        <w:t xml:space="preserve">China Grid Emission Factor:</w:t>
      </w:r>
      <w:r>
        <w:t xml:space="preserve"> </w:t>
      </w:r>
      <w:r>
        <w:t xml:space="preserve">An average grid emission factor for China is approximately 0.577 kgCO2e/kWh. Other sources indicate a range, for instance, 0.5568 kgCO2/kWh (MEE) to 0.6093 kgCO2/kWh (IEA) in 2021. We use 0.577 kgCO2e/kWh for calculation.</w:t>
      </w:r>
    </w:p>
    <w:bookmarkEnd w:id="26"/>
    <w:bookmarkStart w:id="27" w:name="X3f6ffb00446dce6f3bdefd93c121bf9268f9d43"/>
    <w:p>
      <w:pPr>
        <w:pStyle w:val="Heading3"/>
      </w:pPr>
      <w:r>
        <w:t xml:space="preserve">Transportation (Scope 3, Category 4 &amp; 9 - Upstream &amp; Downstream Transportation)</w:t>
      </w:r>
    </w:p>
    <w:p>
      <w:pPr>
        <w:pStyle w:val="FirstParagraph"/>
      </w:pPr>
      <w:r>
        <w:t xml:space="preserve">Logistics for the final product, from the factory gate to the end-user, significantly contribute to its overall footprint.</w:t>
      </w:r>
    </w:p>
    <w:p>
      <w:pPr>
        <w:numPr>
          <w:ilvl w:val="0"/>
          <w:numId w:val="1004"/>
        </w:numPr>
        <w:pStyle w:val="Compact"/>
      </w:pPr>
      <w:r>
        <w:rPr>
          <w:bCs/>
          <w:b/>
        </w:rPr>
        <w:t xml:space="preserve">Primary Transport Mode:</w:t>
      </w:r>
      <w:r>
        <w:t xml:space="preserve"> </w:t>
      </w:r>
      <w:r>
        <w:rPr>
          <w:bCs/>
          <w:b/>
        </w:rPr>
        <w:t xml:space="preserve">Select Mode</w:t>
      </w:r>
      <w:r>
        <w:t xml:space="preserve"> </w:t>
      </w:r>
      <w:r>
        <w:t xml:space="preserve">(assumed Road Freight: HGV 16-32 tonne, Euro VI, given Europe Focused supply chain).</w:t>
      </w:r>
    </w:p>
    <w:p>
      <w:pPr>
        <w:numPr>
          <w:ilvl w:val="0"/>
          <w:numId w:val="1004"/>
        </w:numPr>
        <w:pStyle w:val="Compact"/>
      </w:pPr>
      <w:r>
        <w:rPr>
          <w:bCs/>
          <w:b/>
        </w:rPr>
        <w:t xml:space="preserve">Primary Transport Distance:</w:t>
      </w:r>
      <w:r>
        <w:t xml:space="preserve"> </w:t>
      </w:r>
      <w:r>
        <w:rPr>
          <w:bCs/>
          <w:b/>
        </w:rPr>
        <w:t xml:space="preserve">szkklonssu</w:t>
      </w:r>
      <w:r>
        <w:t xml:space="preserve"> </w:t>
      </w:r>
      <w:r>
        <w:t xml:space="preserve">(assumed 1500 km for transport to a European distribution hub).</w:t>
      </w:r>
    </w:p>
    <w:p>
      <w:pPr>
        <w:numPr>
          <w:ilvl w:val="0"/>
          <w:numId w:val="1004"/>
        </w:numPr>
        <w:pStyle w:val="Compact"/>
      </w:pPr>
      <w:r>
        <w:rPr>
          <w:bCs/>
          <w:b/>
        </w:rPr>
        <w:t xml:space="preserve">Last-Mile Delivery Channel:</w:t>
      </w:r>
      <w:r>
        <w:t xml:space="preserve"> </w:t>
      </w:r>
      <w:r>
        <w:rPr>
          <w:bCs/>
          <w:b/>
        </w:rPr>
        <w:t xml:space="preserve">Delivery Type</w:t>
      </w:r>
      <w:r>
        <w:t xml:space="preserve"> </w:t>
      </w:r>
      <w:r>
        <w:t xml:space="preserve">(assumed Diesel Van for local distribution).</w:t>
      </w:r>
    </w:p>
    <w:p>
      <w:pPr>
        <w:numPr>
          <w:ilvl w:val="0"/>
          <w:numId w:val="1004"/>
        </w:numPr>
        <w:pStyle w:val="Compact"/>
      </w:pPr>
      <w:r>
        <w:rPr>
          <w:bCs/>
          <w:b/>
        </w:rPr>
        <w:t xml:space="preserve">Last-Mile Distance:</w:t>
      </w:r>
      <w:r>
        <w:t xml:space="preserve"> </w:t>
      </w:r>
      <w:r>
        <w:t xml:space="preserve">Assumed 100 km.</w:t>
      </w:r>
    </w:p>
    <w:p>
      <w:pPr>
        <w:numPr>
          <w:ilvl w:val="0"/>
          <w:numId w:val="1004"/>
        </w:numPr>
        <w:pStyle w:val="Compact"/>
      </w:pPr>
      <w:r>
        <w:rPr>
          <w:bCs/>
          <w:b/>
        </w:rPr>
        <w:t xml:space="preserve">Product Weight for Transport:</w:t>
      </w:r>
      <w:r>
        <w:t xml:space="preserve"> </w:t>
      </w:r>
      <w:r>
        <w:t xml:space="preserve">Approx. 1.2 kg (total weight from BOM).</w:t>
      </w:r>
    </w:p>
    <w:p>
      <w:pPr>
        <w:numPr>
          <w:ilvl w:val="0"/>
          <w:numId w:val="1004"/>
        </w:numPr>
        <w:pStyle w:val="Compact"/>
      </w:pPr>
      <w:r>
        <w:rPr>
          <w:bCs/>
          <w:b/>
        </w:rPr>
        <w:t xml:space="preserve">Emission Factors for Transport:</w:t>
      </w:r>
    </w:p>
    <w:p>
      <w:pPr>
        <w:numPr>
          <w:ilvl w:val="1"/>
          <w:numId w:val="1005"/>
        </w:numPr>
        <w:pStyle w:val="Compact"/>
      </w:pPr>
      <w:r>
        <w:t xml:space="preserve">HGV 16-32 tonne (Euro VI): Approx. 0.08 kgCO2e/tonne-km (illustrative, derived from DEFRA-like data).</w:t>
      </w:r>
    </w:p>
    <w:p>
      <w:pPr>
        <w:numPr>
          <w:ilvl w:val="1"/>
          <w:numId w:val="1005"/>
        </w:numPr>
        <w:pStyle w:val="Compact"/>
      </w:pPr>
      <w:r>
        <w:t xml:space="preserve">Diesel Van: Approx. 0.3 kgCO2e/tonne-km (illustrative, derived from DEFRA-like data).</w:t>
      </w:r>
    </w:p>
    <w:bookmarkEnd w:id="27"/>
    <w:bookmarkStart w:id="28" w:name="Xe72837a908ad344b018b3447ff671a3dec19470"/>
    <w:p>
      <w:pPr>
        <w:pStyle w:val="Heading3"/>
      </w:pPr>
      <w:r>
        <w:t xml:space="preserve">Use Phase (Scope 3, Category 11 - Use of Sold Products)</w:t>
      </w:r>
    </w:p>
    <w:p>
      <w:pPr>
        <w:pStyle w:val="FirstParagraph"/>
      </w:pPr>
      <w:r>
        <w:t xml:space="preserve">The energy consumption during the product\'s lifespan is a critical component of its environmental impact, especially for electronics and appliances.</w:t>
      </w:r>
    </w:p>
    <w:p>
      <w:pPr>
        <w:numPr>
          <w:ilvl w:val="0"/>
          <w:numId w:val="1006"/>
        </w:numPr>
        <w:pStyle w:val="Compact"/>
      </w:pPr>
      <w:r>
        <w:rPr>
          <w:bCs/>
          <w:b/>
        </w:rPr>
        <w:t xml:space="preserve">Product Lifespan:</w:t>
      </w:r>
      <w:r>
        <w:t xml:space="preserve"> </w:t>
      </w:r>
      <w:r>
        <w:rPr>
          <w:bCs/>
          <w:b/>
        </w:rPr>
        <w:t xml:space="preserve">kxinyesttt</w:t>
      </w:r>
      <w:r>
        <w:t xml:space="preserve"> </w:t>
      </w:r>
      <w:r>
        <w:t xml:space="preserve">(assumed 5 years).</w:t>
      </w:r>
    </w:p>
    <w:p>
      <w:pPr>
        <w:numPr>
          <w:ilvl w:val="0"/>
          <w:numId w:val="1006"/>
        </w:numPr>
        <w:pStyle w:val="Compact"/>
      </w:pPr>
      <w:r>
        <w:rPr>
          <w:bCs/>
          <w:b/>
        </w:rPr>
        <w:t xml:space="preserve">Energy Consumption in Use:</w:t>
      </w:r>
      <w:r>
        <w:t xml:space="preserve"> </w:t>
      </w:r>
      <w:r>
        <w:rPr>
          <w:bCs/>
          <w:b/>
        </w:rPr>
        <w:t xml:space="preserve">zxwggnfdwf</w:t>
      </w:r>
      <w:r>
        <w:t xml:space="preserve"> </w:t>
      </w:r>
      <w:r>
        <w:t xml:space="preserve">(assumed 20 kWh/year).</w:t>
      </w:r>
    </w:p>
    <w:p>
      <w:pPr>
        <w:numPr>
          <w:ilvl w:val="0"/>
          <w:numId w:val="1006"/>
        </w:numPr>
        <w:pStyle w:val="Compact"/>
      </w:pPr>
      <w:r>
        <w:rPr>
          <w:bCs/>
          <w:b/>
        </w:rPr>
        <w:t xml:space="preserve">Electricity Grid Emission Factor (Use Phase - Europe):</w:t>
      </w:r>
      <w:r>
        <w:t xml:space="preserve"> </w:t>
      </w:r>
      <w:r>
        <w:t xml:space="preserve">Assumed 0.3 kgCO2e/kWh (illustrative European average, as supply chain is Europe focused, implying use in Europe).</w:t>
      </w:r>
    </w:p>
    <w:bookmarkEnd w:id="28"/>
    <w:bookmarkStart w:id="29" w:name="Xf14e5116da2ea1973e56f9fea508cdaa44f663b"/>
    <w:p>
      <w:pPr>
        <w:pStyle w:val="Heading3"/>
      </w:pPr>
      <w:r>
        <w:t xml:space="preserve">End-of-Life (EoL) Scenarios (Scope 3, Category 12 - End-of-Life Treatment of Sold Products)</w:t>
      </w:r>
    </w:p>
    <w:p>
      <w:pPr>
        <w:pStyle w:val="FirstParagraph"/>
      </w:pPr>
      <w:r>
        <w:t xml:space="preserve">Circular economy principles play a crucial role in mitigating end-of-life impacts.</w:t>
      </w:r>
    </w:p>
    <w:p>
      <w:pPr>
        <w:numPr>
          <w:ilvl w:val="0"/>
          <w:numId w:val="1007"/>
        </w:numPr>
        <w:pStyle w:val="Compact"/>
      </w:pPr>
      <w:r>
        <w:rPr>
          <w:bCs/>
          <w:b/>
        </w:rPr>
        <w:t xml:space="preserve">Recyclability Percentage:</w:t>
      </w:r>
      <w:r>
        <w:t xml:space="preserve"> </w:t>
      </w:r>
      <w:r>
        <w:rPr>
          <w:bCs/>
          <w:b/>
        </w:rPr>
        <w:t xml:space="preserve">yjjyggjxti</w:t>
      </w:r>
      <w:r>
        <w:t xml:space="preserve"> </w:t>
      </w:r>
      <w:r>
        <w:t xml:space="preserve">(assumed 80%).</w:t>
      </w:r>
    </w:p>
    <w:p>
      <w:pPr>
        <w:numPr>
          <w:ilvl w:val="0"/>
          <w:numId w:val="1007"/>
        </w:numPr>
        <w:pStyle w:val="Compact"/>
      </w:pPr>
      <w:r>
        <w:rPr>
          <w:bCs/>
          <w:b/>
        </w:rPr>
        <w:t xml:space="preserve">Circular/Take-back Programs:</w:t>
      </w:r>
      <w:r>
        <w:t xml:space="preserve"> </w:t>
      </w:r>
      <w:r>
        <w:rPr>
          <w:bCs/>
          <w:b/>
        </w:rPr>
        <w:t xml:space="preserve">lompksntfg</w:t>
      </w:r>
      <w:r>
        <w:t xml:space="preserve"> </w:t>
      </w:r>
      <w:r>
        <w:t xml:space="preserve">(assumed "Active take-back program in place").</w:t>
      </w:r>
    </w:p>
    <w:p>
      <w:pPr>
        <w:numPr>
          <w:ilvl w:val="0"/>
          <w:numId w:val="1007"/>
        </w:numPr>
        <w:pStyle w:val="Compact"/>
      </w:pPr>
      <w:r>
        <w:rPr>
          <w:bCs/>
          <w:b/>
        </w:rPr>
        <w:t xml:space="preserve">EoL Emissions/Credits:</w:t>
      </w:r>
      <w:r>
        <w:t xml:space="preserve"> </w:t>
      </w:r>
      <w:r>
        <w:t xml:space="preserve">Based on the recyclability and existence of take-back programs, emissions from waste disposal and potential credits from recycling are considered.</w:t>
      </w:r>
    </w:p>
    <w:p>
      <w:r>
        <w:pict>
          <v:rect style="width:0;height:1.5pt" o:hralign="center" o:hrstd="t" o:hr="t"/>
        </w:pict>
      </w:r>
    </w:p>
    <w:bookmarkEnd w:id="29"/>
    <w:bookmarkEnd w:id="30"/>
    <w:bookmarkStart w:id="41" w:name="X439a6e6dcb43c636bf515ffaf3f59bce0bd6490"/>
    <w:p>
      <w:pPr>
        <w:pStyle w:val="Heading2"/>
      </w:pPr>
      <w:r>
        <w:t xml:space="preserve">4. Emission Calculation (Activity * Emission Factor = CO2e)</w:t>
      </w:r>
    </w:p>
    <w:p>
      <w:pPr>
        <w:pStyle w:val="FirstParagraph"/>
      </w:pPr>
      <w:r>
        <w:t xml:space="preserve">This section details the calculation of Greenhouse Gas (GHG) emissions across the product\'s lifecycle, categorized according to the GHG Protocol.</w:t>
      </w:r>
    </w:p>
    <w:bookmarkStart w:id="31" w:name="ghg-protocol-scopes-and-2026-updates"/>
    <w:p>
      <w:pPr>
        <w:pStyle w:val="Heading3"/>
      </w:pPr>
      <w:r>
        <w:t xml:space="preserve">GHG Protocol Scopes and 2026 Updates</w:t>
      </w:r>
    </w:p>
    <w:p>
      <w:pPr>
        <w:pStyle w:val="FirstParagraph"/>
      </w:pPr>
      <w:r>
        <w:t xml:space="preserve">This analysis adheres to the GHG Protocol\'s categorization of emissions into Scope 1 (direct), Scope 2 (purchased energy), and Scope 3 (value chain). Furthermore, it incorporates the latest 2026 updates:</w:t>
      </w:r>
    </w:p>
    <w:p>
      <w:pPr>
        <w:numPr>
          <w:ilvl w:val="0"/>
          <w:numId w:val="1008"/>
        </w:numPr>
        <w:pStyle w:val="Compact"/>
      </w:pPr>
      <w:r>
        <w:rPr>
          <w:bCs/>
          <w:b/>
        </w:rPr>
        <w:t xml:space="preserve">2026 LSR Update:</w:t>
      </w:r>
      <w:r>
        <w:t xml:space="preserve"> </w:t>
      </w:r>
      <w:r>
        <w:t xml:space="preserve">The Land Sector and Removals (LSR) Standard, effective January 1, 2027, provides robust accounting requirements and guidance for quantifying, reporting, and tracking land emissions and CO₂ removals. While direct land use emissions for the manufacturing of</w:t>
      </w:r>
      <w:r>
        <w:t xml:space="preserve"> </w:t>
      </w:r>
      <w:r>
        <w:rPr>
          <w:bCs/>
          <w:b/>
        </w:rPr>
        <w:t xml:space="preserve">mwwhhxiyuv</w:t>
      </w:r>
      <w:r>
        <w:t xml:space="preserve"> </w:t>
      </w:r>
      <w:r>
        <w:t xml:space="preserve">itself might not be primary, indirect impacts embedded in raw material sourcing (e.g., bio-based materials, if applicable) are covered within the Scope 3 calculations. This standard also allows for reporting technological CO₂ removals.</w:t>
      </w:r>
    </w:p>
    <w:p>
      <w:pPr>
        <w:numPr>
          <w:ilvl w:val="0"/>
          <w:numId w:val="1008"/>
        </w:numPr>
        <w:pStyle w:val="Compact"/>
      </w:pPr>
      <w:r>
        <w:rPr>
          <w:bCs/>
          <w:b/>
        </w:rPr>
        <w:t xml:space="preserve">Scope 3 Compliance:</w:t>
      </w:r>
      <w:r>
        <w:t xml:space="preserve"> </w:t>
      </w:r>
      <w:r>
        <w:t xml:space="preserve">As per the proposed 2026 requirements, this report aims for at least</w:t>
      </w:r>
      <w:r>
        <w:t xml:space="preserve"> </w:t>
      </w:r>
      <w:r>
        <w:rPr>
          <w:bCs/>
          <w:b/>
        </w:rPr>
        <w:t xml:space="preserve">95% coverage for Scope 3 emissions</w:t>
      </w:r>
      <w:r>
        <w:t xml:space="preserve">. This ensures a comprehensive assessment of all relevant value chain emissions, moving towards more robust, auditable, and transparent disclosures and mitigating "cherry-picking" of easy-to-measure categories.</w:t>
      </w:r>
    </w:p>
    <w:bookmarkEnd w:id="31"/>
    <w:bookmarkStart w:id="39" w:name="detailed-emission-breakdown"/>
    <w:p>
      <w:pPr>
        <w:pStyle w:val="Heading3"/>
      </w:pPr>
      <w:r>
        <w:t xml:space="preserve">Detailed Emission Breakdown</w:t>
      </w:r>
    </w:p>
    <w:bookmarkStart w:id="32" w:name="scope-1-direct-emissions"/>
    <w:p>
      <w:pPr>
        <w:pStyle w:val="Heading4"/>
      </w:pPr>
      <w:r>
        <w:t xml:space="preserve">Scope 1: Direct Emissions</w:t>
      </w:r>
    </w:p>
    <w:p>
      <w:pPr>
        <w:pStyle w:val="FirstParagraph"/>
      </w:pPr>
      <w:r>
        <w:t xml:space="preserve">Given the "factory_gate" system boundary focusing on product-level PCF and typical manufacturing processes, direct Scope 1 emissions (e.g., from owned boilers or vehicles within the factory premises) are not directly quantifiable for</w:t>
      </w:r>
      <w:r>
        <w:t xml:space="preserve"> </w:t>
      </w:r>
      <w:r>
        <w:rPr>
          <w:bCs/>
          <w:b/>
        </w:rPr>
        <w:t xml:space="preserve">mwwhhxiyuv</w:t>
      </w:r>
      <w:r>
        <w:t xml:space="preserve"> </w:t>
      </w:r>
      <w:r>
        <w:t xml:space="preserve">at this product-specific level without more granular operational data. For this analysis, it is assumed that significant direct emissions specific to the product\'s manufacturing, if any, are covered by the energy consumption (Scope 2) and material production (Scope 3) reported.</w:t>
      </w:r>
    </w:p>
    <w:bookmarkEnd w:id="32"/>
    <w:bookmarkStart w:id="33" w:name="X358a32ff64d196000e911008d9888e39c8a4ceb"/>
    <w:p>
      <w:pPr>
        <w:pStyle w:val="Heading4"/>
      </w:pPr>
      <w:r>
        <w:t xml:space="preserve">Scope 2: Purchased Electricity (Production Phase)</w:t>
      </w:r>
    </w:p>
    <w:p>
      <w:pPr>
        <w:numPr>
          <w:ilvl w:val="0"/>
          <w:numId w:val="1009"/>
        </w:numPr>
        <w:pStyle w:val="Compact"/>
      </w:pPr>
      <w:r>
        <w:t xml:space="preserve">Energy Consumption: 10 kWh/unit</w:t>
      </w:r>
    </w:p>
    <w:p>
      <w:pPr>
        <w:numPr>
          <w:ilvl w:val="0"/>
          <w:numId w:val="1009"/>
        </w:numPr>
        <w:pStyle w:val="Compact"/>
      </w:pPr>
      <w:r>
        <w:t xml:space="preserve">Renewable Energy Usage: 70%</w:t>
      </w:r>
    </w:p>
    <w:p>
      <w:pPr>
        <w:numPr>
          <w:ilvl w:val="0"/>
          <w:numId w:val="1009"/>
        </w:numPr>
        <w:pStyle w:val="Compact"/>
      </w:pPr>
      <w:r>
        <w:t xml:space="preserve">Non-renewable Energy Consumption: 10 kWh/unit * (1 - 0.70) = 3 kWh/unit</w:t>
      </w:r>
    </w:p>
    <w:p>
      <w:pPr>
        <w:numPr>
          <w:ilvl w:val="0"/>
          <w:numId w:val="1009"/>
        </w:numPr>
        <w:pStyle w:val="Compact"/>
      </w:pPr>
      <w:r>
        <w:t xml:space="preserve">China Grid Emission Factor: 0.577 kgCO2e/kWh</w:t>
      </w:r>
    </w:p>
    <w:p>
      <w:pPr>
        <w:numPr>
          <w:ilvl w:val="0"/>
          <w:numId w:val="1009"/>
        </w:numPr>
        <w:pStyle w:val="Compact"/>
      </w:pPr>
      <w:r>
        <w:rPr>
          <w:bCs/>
          <w:b/>
        </w:rPr>
        <w:t xml:space="preserve">Total Scope 2 Emissions:</w:t>
      </w:r>
      <w:r>
        <w:t xml:space="preserve"> </w:t>
      </w:r>
      <w:r>
        <w:t xml:space="preserve">3 kWh/unit * 0.577 kgCO2e/kWh =</w:t>
      </w:r>
      <w:r>
        <w:t xml:space="preserve"> </w:t>
      </w:r>
      <w:r>
        <w:rPr>
          <w:bCs/>
          <w:b/>
        </w:rPr>
        <w:t xml:space="preserve">1.731 kgCO2e/unit</w:t>
      </w:r>
    </w:p>
    <w:bookmarkEnd w:id="33"/>
    <w:bookmarkStart w:id="38" w:name="scope-3-value-chain-emissions"/>
    <w:p>
      <w:pPr>
        <w:pStyle w:val="Heading4"/>
      </w:pPr>
      <w:r>
        <w:t xml:space="preserve">Scope 3: Value Chain Emissions</w:t>
      </w:r>
    </w:p>
    <w:bookmarkStart w:id="34" w:name="Xab9729a0caae076ca89f2f71668734f92723cf2"/>
    <w:p>
      <w:pPr>
        <w:pStyle w:val="Heading5"/>
      </w:pPr>
      <w:r>
        <w:t xml:space="preserve">Category 1: Purchased Goods and Services (Materials)</w:t>
      </w:r>
    </w:p>
    <w:p>
      <w:pPr>
        <w:pStyle w:val="FirstParagraph"/>
      </w:pPr>
      <w:r>
        <w:t xml:space="preserve">Based on the illustrative Bill of Materials provided:</w:t>
      </w:r>
    </w:p>
    <w:p>
      <w:pPr>
        <w:numPr>
          <w:ilvl w:val="0"/>
          <w:numId w:val="1010"/>
        </w:numPr>
        <w:pStyle w:val="Compact"/>
      </w:pPr>
      <w:r>
        <w:t xml:space="preserve">Aluminum Casing: 3.75 kgCO2e</w:t>
      </w:r>
    </w:p>
    <w:p>
      <w:pPr>
        <w:numPr>
          <w:ilvl w:val="0"/>
          <w:numId w:val="1010"/>
        </w:numPr>
        <w:pStyle w:val="Compact"/>
      </w:pPr>
      <w:r>
        <w:t xml:space="preserve">Plastic Components: 0.60 kgCO2e</w:t>
      </w:r>
    </w:p>
    <w:p>
      <w:pPr>
        <w:numPr>
          <w:ilvl w:val="0"/>
          <w:numId w:val="1010"/>
        </w:numPr>
        <w:pStyle w:val="Compact"/>
      </w:pPr>
      <w:r>
        <w:t xml:space="preserve">Circuit Board: 2.50 kgCO2e</w:t>
      </w:r>
    </w:p>
    <w:p>
      <w:pPr>
        <w:numPr>
          <w:ilvl w:val="0"/>
          <w:numId w:val="1010"/>
        </w:numPr>
        <w:pStyle w:val="Compact"/>
      </w:pPr>
      <w:r>
        <w:t xml:space="preserve">Copper Wire: 0.40 kgCO2e</w:t>
      </w:r>
    </w:p>
    <w:p>
      <w:pPr>
        <w:numPr>
          <w:ilvl w:val="0"/>
          <w:numId w:val="1010"/>
        </w:numPr>
        <w:pStyle w:val="Compact"/>
      </w:pPr>
      <w:r>
        <w:t xml:space="preserve">Packaging (Cardboard): 0.24 kgCO2e</w:t>
      </w:r>
    </w:p>
    <w:p>
      <w:pPr>
        <w:numPr>
          <w:ilvl w:val="0"/>
          <w:numId w:val="1010"/>
        </w:numPr>
        <w:pStyle w:val="Compact"/>
      </w:pPr>
      <w:r>
        <w:rPr>
          <w:bCs/>
          <w:b/>
        </w:rPr>
        <w:t xml:space="preserve">Subtotal Scope 3 (Materials):</w:t>
      </w:r>
      <w:r>
        <w:t xml:space="preserve"> </w:t>
      </w:r>
      <w:r>
        <w:rPr>
          <w:bCs/>
          <w:b/>
        </w:rPr>
        <w:t xml:space="preserve">7.49 kgCO2e/unit</w:t>
      </w:r>
    </w:p>
    <w:bookmarkEnd w:id="34"/>
    <w:bookmarkStart w:id="35" w:name="Xdce1fb9a5c8837e4e29d052a8c0e6dfaaa04cfe"/>
    <w:p>
      <w:pPr>
        <w:pStyle w:val="Heading5"/>
      </w:pPr>
      <w:r>
        <w:t xml:space="preserve">Category 4 &amp; 9: Transportation and Distribution (Outbound Final Product)</w:t>
      </w:r>
    </w:p>
    <w:p>
      <w:pPr>
        <w:pStyle w:val="FirstParagraph"/>
      </w:pPr>
      <w:r>
        <w:t xml:space="preserve">Calculations for transporting the finished product from the factory to the end-user.</w:t>
      </w:r>
    </w:p>
    <w:p>
      <w:pPr>
        <w:numPr>
          <w:ilvl w:val="0"/>
          <w:numId w:val="1011"/>
        </w:numPr>
        <w:pStyle w:val="Compact"/>
      </w:pPr>
      <w:r>
        <w:rPr>
          <w:bCs/>
          <w:b/>
        </w:rPr>
        <w:t xml:space="preserve">Primary Transport (HGV):</w:t>
      </w:r>
    </w:p>
    <w:p>
      <w:pPr>
        <w:numPr>
          <w:ilvl w:val="1"/>
          <w:numId w:val="1012"/>
        </w:numPr>
        <w:pStyle w:val="Compact"/>
      </w:pPr>
      <w:r>
        <w:t xml:space="preserve">Product Weight: 1.2 kg = 0.0012 tonnes</w:t>
      </w:r>
    </w:p>
    <w:p>
      <w:pPr>
        <w:numPr>
          <w:ilvl w:val="1"/>
          <w:numId w:val="1012"/>
        </w:numPr>
        <w:pStyle w:val="Compact"/>
      </w:pPr>
      <w:r>
        <w:t xml:space="preserve">Distance: 1500 km</w:t>
      </w:r>
    </w:p>
    <w:p>
      <w:pPr>
        <w:numPr>
          <w:ilvl w:val="1"/>
          <w:numId w:val="1012"/>
        </w:numPr>
        <w:pStyle w:val="Compact"/>
      </w:pPr>
      <w:r>
        <w:t xml:space="preserve">Emission Factor (HGV): 0.08 kgCO2e/tonne-km</w:t>
      </w:r>
    </w:p>
    <w:p>
      <w:pPr>
        <w:numPr>
          <w:ilvl w:val="1"/>
          <w:numId w:val="1012"/>
        </w:numPr>
        <w:pStyle w:val="Compact"/>
      </w:pPr>
      <w:r>
        <w:t xml:space="preserve">Emissions: 0.0012 tonnes * 1500 km * 0.08 kgCO2e/tonne-km = 0.144 kgCO2e</w:t>
      </w:r>
    </w:p>
    <w:p>
      <w:pPr>
        <w:numPr>
          <w:ilvl w:val="0"/>
          <w:numId w:val="1011"/>
        </w:numPr>
        <w:pStyle w:val="Compact"/>
      </w:pPr>
      <w:r>
        <w:rPr>
          <w:bCs/>
          <w:b/>
        </w:rPr>
        <w:t xml:space="preserve">Last-Mile Delivery (Diesel Van):</w:t>
      </w:r>
    </w:p>
    <w:p>
      <w:pPr>
        <w:numPr>
          <w:ilvl w:val="1"/>
          <w:numId w:val="1013"/>
        </w:numPr>
        <w:pStyle w:val="Compact"/>
      </w:pPr>
      <w:r>
        <w:t xml:space="preserve">Product Weight: 1.2 kg = 0.0012 tonnes</w:t>
      </w:r>
    </w:p>
    <w:p>
      <w:pPr>
        <w:numPr>
          <w:ilvl w:val="1"/>
          <w:numId w:val="1013"/>
        </w:numPr>
        <w:pStyle w:val="Compact"/>
      </w:pPr>
      <w:r>
        <w:t xml:space="preserve">Distance: 100 km</w:t>
      </w:r>
    </w:p>
    <w:p>
      <w:pPr>
        <w:numPr>
          <w:ilvl w:val="1"/>
          <w:numId w:val="1013"/>
        </w:numPr>
        <w:pStyle w:val="Compact"/>
      </w:pPr>
      <w:r>
        <w:t xml:space="preserve">Emission Factor (Diesel Van): 0.3 kgCO2e/tonne-km</w:t>
      </w:r>
    </w:p>
    <w:p>
      <w:pPr>
        <w:numPr>
          <w:ilvl w:val="1"/>
          <w:numId w:val="1013"/>
        </w:numPr>
        <w:pStyle w:val="Compact"/>
      </w:pPr>
      <w:r>
        <w:t xml:space="preserve">Emissions: 0.0012 tonnes * 100 km * 0.3 kgCO2e/tonne-km = 0.036 kgCO2e</w:t>
      </w:r>
    </w:p>
    <w:p>
      <w:pPr>
        <w:numPr>
          <w:ilvl w:val="0"/>
          <w:numId w:val="1011"/>
        </w:numPr>
        <w:pStyle w:val="Compact"/>
      </w:pPr>
      <w:r>
        <w:rPr>
          <w:bCs/>
          <w:b/>
        </w:rPr>
        <w:t xml:space="preserve">Subtotal Scope 3 (Transport):</w:t>
      </w:r>
      <w:r>
        <w:t xml:space="preserve"> </w:t>
      </w:r>
      <w:r>
        <w:t xml:space="preserve">0.144 kgCO2e + 0.036 kgCO2e =</w:t>
      </w:r>
      <w:r>
        <w:t xml:space="preserve"> </w:t>
      </w:r>
      <w:r>
        <w:rPr>
          <w:bCs/>
          <w:b/>
        </w:rPr>
        <w:t xml:space="preserve">0.180 kgCO2e/unit</w:t>
      </w:r>
    </w:p>
    <w:bookmarkEnd w:id="35"/>
    <w:bookmarkStart w:id="36" w:name="category-11-use-of-sold-products"/>
    <w:p>
      <w:pPr>
        <w:pStyle w:val="Heading5"/>
      </w:pPr>
      <w:r>
        <w:t xml:space="preserve">Category 11: Use of Sold Products</w:t>
      </w:r>
    </w:p>
    <w:p>
      <w:pPr>
        <w:pStyle w:val="FirstParagraph"/>
      </w:pPr>
      <w:r>
        <w:t xml:space="preserve">Energy consumption during the product\'s operational lifetime.</w:t>
      </w:r>
    </w:p>
    <w:p>
      <w:pPr>
        <w:numPr>
          <w:ilvl w:val="0"/>
          <w:numId w:val="1014"/>
        </w:numPr>
        <w:pStyle w:val="Compact"/>
      </w:pPr>
      <w:r>
        <w:t xml:space="preserve">Product Lifespan: 5 years</w:t>
      </w:r>
    </w:p>
    <w:p>
      <w:pPr>
        <w:numPr>
          <w:ilvl w:val="0"/>
          <w:numId w:val="1014"/>
        </w:numPr>
        <w:pStyle w:val="Compact"/>
      </w:pPr>
      <w:r>
        <w:t xml:space="preserve">Annual Energy Consumption: 20 kWh/year</w:t>
      </w:r>
    </w:p>
    <w:p>
      <w:pPr>
        <w:numPr>
          <w:ilvl w:val="0"/>
          <w:numId w:val="1014"/>
        </w:numPr>
        <w:pStyle w:val="Compact"/>
      </w:pPr>
      <w:r>
        <w:t xml:space="preserve">Total Lifetime Energy Consumption: 5 years * 20 kWh/year = 100 kWh</w:t>
      </w:r>
    </w:p>
    <w:p>
      <w:pPr>
        <w:numPr>
          <w:ilvl w:val="0"/>
          <w:numId w:val="1014"/>
        </w:numPr>
        <w:pStyle w:val="Compact"/>
      </w:pPr>
      <w:r>
        <w:t xml:space="preserve">European Grid Emission Factor (Use Phase): 0.3 kgCO2e/kWh</w:t>
      </w:r>
    </w:p>
    <w:p>
      <w:pPr>
        <w:numPr>
          <w:ilvl w:val="0"/>
          <w:numId w:val="1014"/>
        </w:numPr>
        <w:pStyle w:val="Compact"/>
      </w:pPr>
      <w:r>
        <w:rPr>
          <w:bCs/>
          <w:b/>
        </w:rPr>
        <w:t xml:space="preserve">Total Scope 3 (Use Phase):</w:t>
      </w:r>
      <w:r>
        <w:t xml:space="preserve"> </w:t>
      </w:r>
      <w:r>
        <w:t xml:space="preserve">100 kWh * 0.3 kgCO2e/kWh =</w:t>
      </w:r>
      <w:r>
        <w:t xml:space="preserve"> </w:t>
      </w:r>
      <w:r>
        <w:rPr>
          <w:bCs/>
          <w:b/>
        </w:rPr>
        <w:t xml:space="preserve">30.000 kgCO2e/unit</w:t>
      </w:r>
    </w:p>
    <w:bookmarkEnd w:id="36"/>
    <w:bookmarkStart w:id="37" w:name="X9f66eef2700632e081dfe139021cb724ffcd2c5"/>
    <w:p>
      <w:pPr>
        <w:pStyle w:val="Heading5"/>
      </w:pPr>
      <w:r>
        <w:t xml:space="preserve">Category 12: End-of-Life Treatment of Sold Products</w:t>
      </w:r>
    </w:p>
    <w:p>
      <w:pPr>
        <w:pStyle w:val="FirstParagraph"/>
      </w:pPr>
      <w:r>
        <w:t xml:space="preserve">Impacts from disposal and benefits from recycling.</w:t>
      </w:r>
    </w:p>
    <w:p>
      <w:pPr>
        <w:numPr>
          <w:ilvl w:val="0"/>
          <w:numId w:val="1015"/>
        </w:numPr>
        <w:pStyle w:val="Compact"/>
      </w:pPr>
      <w:r>
        <w:t xml:space="preserve">Total Product Weight: 1.2 kg (approx.)</w:t>
      </w:r>
    </w:p>
    <w:p>
      <w:pPr>
        <w:numPr>
          <w:ilvl w:val="0"/>
          <w:numId w:val="1015"/>
        </w:numPr>
        <w:pStyle w:val="Compact"/>
      </w:pPr>
      <w:r>
        <w:t xml:space="preserve">Recyclability Percentage: 80%</w:t>
      </w:r>
    </w:p>
    <w:p>
      <w:pPr>
        <w:numPr>
          <w:ilvl w:val="0"/>
          <w:numId w:val="1015"/>
        </w:numPr>
        <w:pStyle w:val="Compact"/>
      </w:pPr>
      <w:r>
        <w:t xml:space="preserve">Non-recyclable Waste (20%): 1.2 kg * 0.20 = 0.24 kg</w:t>
      </w:r>
    </w:p>
    <w:p>
      <w:pPr>
        <w:numPr>
          <w:ilvl w:val="1"/>
          <w:numId w:val="1016"/>
        </w:numPr>
        <w:pStyle w:val="Compact"/>
      </w:pPr>
      <w:r>
        <w:t xml:space="preserve">Emission Factor (General Waste/Disposal): Assumed 0.5 kgCO2e/kg</w:t>
      </w:r>
    </w:p>
    <w:p>
      <w:pPr>
        <w:numPr>
          <w:ilvl w:val="1"/>
          <w:numId w:val="1016"/>
        </w:numPr>
        <w:pStyle w:val="Compact"/>
      </w:pPr>
      <w:r>
        <w:t xml:space="preserve">Emissions from Waste Disposal: 0.24 kg * 0.5 kgCO2e/kg = 0.12 kgCO2e</w:t>
      </w:r>
    </w:p>
    <w:p>
      <w:pPr>
        <w:numPr>
          <w:ilvl w:val="0"/>
          <w:numId w:val="1015"/>
        </w:numPr>
        <w:pStyle w:val="Compact"/>
      </w:pPr>
      <w:r>
        <w:t xml:space="preserve">Recycling Credit (80%): Applying an avoided burden approach (50% credit of virgin material impact for recycled content). The circular economy plays a key role in reducing the carbon footprint by minimizing the need for new materials and associated emissions.</w:t>
      </w:r>
    </w:p>
    <w:p>
      <w:pPr>
        <w:numPr>
          <w:ilvl w:val="1"/>
          <w:numId w:val="1017"/>
        </w:numPr>
        <w:pStyle w:val="Compact"/>
      </w:pPr>
      <w:r>
        <w:t xml:space="preserve">Aluminum Credit: 0.5 kg (Al) * 0.80 (Recyclability) * 7.5 kgCO2e/kg (Virgin EF) * 0.5 (Credit Factor) = -1.50 kgCO2e</w:t>
      </w:r>
    </w:p>
    <w:p>
      <w:pPr>
        <w:numPr>
          <w:ilvl w:val="1"/>
          <w:numId w:val="1017"/>
        </w:numPr>
        <w:pStyle w:val="Compact"/>
      </w:pPr>
      <w:r>
        <w:t xml:space="preserve">Plastic Credit: 0.2 kg (Plastic) * 0.80 (Recyclability) * 3.0 kgCO2e/kg (Virgin EF) * 0.5 (Credit Factor) = -0.24 kgCO2e</w:t>
      </w:r>
    </w:p>
    <w:p>
      <w:pPr>
        <w:numPr>
          <w:ilvl w:val="1"/>
          <w:numId w:val="1017"/>
        </w:numPr>
        <w:pStyle w:val="Compact"/>
      </w:pPr>
      <w:r>
        <w:t xml:space="preserve">Copper Credit: 0.1 kg (Copper) * 0.80 (Recyclability) * 4.0 kgCO2e/kg (Virgin EF) * 0.5 (Credit Factor) = -0.16 kgCO2e</w:t>
      </w:r>
    </w:p>
    <w:p>
      <w:pPr>
        <w:numPr>
          <w:ilvl w:val="1"/>
          <w:numId w:val="1017"/>
        </w:numPr>
        <w:pStyle w:val="Compact"/>
      </w:pPr>
      <w:r>
        <w:t xml:space="preserve">Cardboard Credit: 0.3 kg (Cardboard) * 0.80 (Recyclability) * 0.8 kgCO2e/kg (Virgin EF) * 0.5 (Credit Factor) = -0.096 kgCO2e</w:t>
      </w:r>
    </w:p>
    <w:p>
      <w:pPr>
        <w:numPr>
          <w:ilvl w:val="1"/>
          <w:numId w:val="1017"/>
        </w:numPr>
        <w:pStyle w:val="Compact"/>
      </w:pPr>
      <w:r>
        <w:t xml:space="preserve">Total Recycling Credit: -1.50 - 0.24 - 0.16 - 0.096 = -1.996 kgCO2e</w:t>
      </w:r>
    </w:p>
    <w:p>
      <w:pPr>
        <w:numPr>
          <w:ilvl w:val="0"/>
          <w:numId w:val="1015"/>
        </w:numPr>
        <w:pStyle w:val="Compact"/>
      </w:pPr>
      <w:r>
        <w:rPr>
          <w:bCs/>
          <w:b/>
        </w:rPr>
        <w:t xml:space="preserve">Total Scope 3 (End-of-Life):</w:t>
      </w:r>
      <w:r>
        <w:t xml:space="preserve"> </w:t>
      </w:r>
      <w:r>
        <w:t xml:space="preserve">0.12 kgCO2e (Disposal) - 1.996 kgCO2e (Credit) =</w:t>
      </w:r>
      <w:r>
        <w:t xml:space="preserve"> </w:t>
      </w:r>
      <w:r>
        <w:rPr>
          <w:bCs/>
          <w:b/>
        </w:rPr>
        <w:t xml:space="preserve">-1.876 kgCO2e/unit</w:t>
      </w:r>
    </w:p>
    <w:bookmarkEnd w:id="37"/>
    <w:bookmarkEnd w:id="38"/>
    <w:bookmarkEnd w:id="39"/>
    <w:bookmarkStart w:id="40" w:name="X299a3717db401fbc63eac38de0814f3ad8939f4"/>
    <w:p>
      <w:pPr>
        <w:pStyle w:val="Heading3"/>
      </w:pPr>
      <w:r>
        <w:t xml:space="preserve">Total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Materials Acquisition &amp; Manufacturing</w:t>
            </w:r>
          </w:p>
        </w:tc>
        <w:tc>
          <w:tcPr/>
          <w:p>
            <w:pPr>
              <w:pStyle w:val="Compact"/>
              <w:jc w:val="left"/>
            </w:pPr>
            <w:r>
              <w:t xml:space="preserve">Scope 3, Category 1</w:t>
            </w:r>
          </w:p>
        </w:tc>
        <w:tc>
          <w:tcPr/>
          <w:p>
            <w:pPr>
              <w:pStyle w:val="Compact"/>
              <w:jc w:val="left"/>
            </w:pPr>
            <w:r>
              <w:t xml:space="preserve">7.490</w:t>
            </w:r>
          </w:p>
        </w:tc>
      </w:tr>
      <w:tr>
        <w:tc>
          <w:tcPr/>
          <w:p>
            <w:pPr>
              <w:pStyle w:val="Compact"/>
              <w:jc w:val="left"/>
            </w:pPr>
            <w:r>
              <w:t xml:space="preserve">Production Phase (Purchased Electricity)</w:t>
            </w:r>
          </w:p>
        </w:tc>
        <w:tc>
          <w:tcPr/>
          <w:p>
            <w:pPr>
              <w:pStyle w:val="Compact"/>
              <w:jc w:val="left"/>
            </w:pPr>
            <w:r>
              <w:t xml:space="preserve">Scope 2</w:t>
            </w:r>
          </w:p>
        </w:tc>
        <w:tc>
          <w:tcPr/>
          <w:p>
            <w:pPr>
              <w:pStyle w:val="Compact"/>
              <w:jc w:val="left"/>
            </w:pPr>
            <w:r>
              <w:t xml:space="preserve">1.731</w:t>
            </w:r>
          </w:p>
        </w:tc>
      </w:tr>
      <w:tr>
        <w:tc>
          <w:tcPr/>
          <w:p>
            <w:pPr>
              <w:pStyle w:val="Compact"/>
              <w:jc w:val="left"/>
            </w:pPr>
            <w:r>
              <w:t xml:space="preserve">Transportation (Outbound Final Product)</w:t>
            </w:r>
          </w:p>
        </w:tc>
        <w:tc>
          <w:tcPr/>
          <w:p>
            <w:pPr>
              <w:pStyle w:val="Compact"/>
              <w:jc w:val="left"/>
            </w:pPr>
            <w:r>
              <w:t xml:space="preserve">Scope 3, Categories 4 &amp; 9</w:t>
            </w:r>
          </w:p>
        </w:tc>
        <w:tc>
          <w:tcPr/>
          <w:p>
            <w:pPr>
              <w:pStyle w:val="Compact"/>
              <w:jc w:val="left"/>
            </w:pPr>
            <w:r>
              <w:t xml:space="preserve">0.180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30.000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-1.876</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37.525 kgCO2e/unit</w:t>
            </w:r>
          </w:p>
        </w:tc>
      </w:tr>
    </w:tbl>
    <w:p>
      <w:r>
        <w:pict>
          <v:rect style="width:0;height:1.5pt" o:hralign="center" o:hrstd="t" o:hr="t"/>
        </w:pict>
      </w:r>
    </w:p>
    <w:bookmarkEnd w:id="40"/>
    <w:bookmarkEnd w:id="41"/>
    <w:bookmarkStart w:id="45" w:name="review-report-hotspots-and-reliability"/>
    <w:p>
      <w:pPr>
        <w:pStyle w:val="Heading2"/>
      </w:pPr>
      <w:r>
        <w:t xml:space="preserve">5. Review &amp; Report: Hotspots and Reliability</w:t>
      </w:r>
    </w:p>
    <w:bookmarkStart w:id="42" w:name="emission-hotspots"/>
    <w:p>
      <w:pPr>
        <w:pStyle w:val="Heading3"/>
      </w:pPr>
      <w:r>
        <w:t xml:space="preserve">Emission Hotspots</w:t>
      </w:r>
    </w:p>
    <w:p>
      <w:pPr>
        <w:pStyle w:val="FirstParagraph"/>
      </w:pPr>
      <w:r>
        <w:t xml:space="preserve">The analysis reveals the following major emission hotspots for</w:t>
      </w:r>
      <w:r>
        <w:t xml:space="preserve"> </w:t>
      </w:r>
      <w:r>
        <w:rPr>
          <w:bCs/>
          <w:b/>
        </w:rPr>
        <w:t xml:space="preserve">mwwhhxiyuv</w:t>
      </w:r>
      <w:r>
        <w:t xml:space="preserve">:</w:t>
      </w:r>
    </w:p>
    <w:p>
      <w:pPr>
        <w:numPr>
          <w:ilvl w:val="0"/>
          <w:numId w:val="1018"/>
        </w:numPr>
        <w:pStyle w:val="Compact"/>
      </w:pPr>
      <w:r>
        <w:rPr>
          <w:bCs/>
          <w:b/>
        </w:rPr>
        <w:t xml:space="preserve">Use Phase (30.00 kgCO2e):</w:t>
      </w:r>
      <w:r>
        <w:t xml:space="preserve"> </w:t>
      </w:r>
      <w:r>
        <w:t xml:space="preserve">This stage represents the most significant contributor to the product\'s PCF (approximately 80% of the total). This is common for products that consume energy during their operational lifetime, such as electronics, where the lifetime energy consumption can vastly exceed the initial energy for manufacturing.</w:t>
      </w:r>
    </w:p>
    <w:p>
      <w:pPr>
        <w:numPr>
          <w:ilvl w:val="0"/>
          <w:numId w:val="1018"/>
        </w:numPr>
        <w:pStyle w:val="Compact"/>
      </w:pPr>
      <w:r>
        <w:rPr>
          <w:bCs/>
          <w:b/>
        </w:rPr>
        <w:t xml:space="preserve">Materials Acquisition &amp; Manufacturing (7.49 kgCO2e):</w:t>
      </w:r>
      <w:r>
        <w:t xml:space="preserve"> </w:t>
      </w:r>
      <w:r>
        <w:t xml:space="preserve">The production of raw materials, particularly primary aluminum and electronic components, contributes substantially (approximately 20% of the total). Metals and complex electronics are often energy-intensive to produce.</w:t>
      </w:r>
    </w:p>
    <w:p>
      <w:pPr>
        <w:numPr>
          <w:ilvl w:val="0"/>
          <w:numId w:val="1018"/>
        </w:numPr>
        <w:pStyle w:val="Compact"/>
      </w:pPr>
      <w:r>
        <w:rPr>
          <w:bCs/>
          <w:b/>
        </w:rPr>
        <w:t xml:space="preserve">Production Phase (1.731 kgCO2e):</w:t>
      </w:r>
      <w:r>
        <w:t xml:space="preserve"> </w:t>
      </w:r>
      <w:r>
        <w:t xml:space="preserve">While the company utilizes 70% renewable energy, the remaining grid electricity from China still contributes, highlighting the importance of continued decarbonization of the energy mix.</w:t>
      </w:r>
    </w:p>
    <w:bookmarkEnd w:id="42"/>
    <w:bookmarkStart w:id="43" w:name="data-reliability-and-assumptions"/>
    <w:p>
      <w:pPr>
        <w:pStyle w:val="Heading3"/>
      </w:pPr>
      <w:r>
        <w:t xml:space="preserve">Data Reliability and Assumptions</w:t>
      </w:r>
    </w:p>
    <w:p>
      <w:pPr>
        <w:pStyle w:val="FirstParagraph"/>
      </w:pPr>
      <w:r>
        <w:t xml:space="preserve">The reliability of this PCF analysis is based on a combination of primary (specific parameters provided) and secondary (industry-average emission factors) data.</w:t>
      </w:r>
    </w:p>
    <w:p>
      <w:pPr>
        <w:numPr>
          <w:ilvl w:val="0"/>
          <w:numId w:val="1019"/>
        </w:numPr>
        <w:pStyle w:val="Compact"/>
      </w:pPr>
      <w:r>
        <w:rPr>
          <w:bCs/>
          <w:b/>
        </w:rPr>
        <w:t xml:space="preserve">Primary Data:</w:t>
      </w:r>
      <w:r>
        <w:t xml:space="preserve"> </w:t>
      </w:r>
      <w:r>
        <w:t xml:space="preserve">Company-specific parameters like energy intensity (</w:t>
      </w:r>
      <w:r>
        <w:rPr>
          <w:bCs/>
          <w:b/>
        </w:rPr>
        <w:t xml:space="preserve">sxnskyqewr</w:t>
      </w:r>
      <w:r>
        <w:t xml:space="preserve">), renewable energy usage (</w:t>
      </w:r>
      <w:r>
        <w:rPr>
          <w:bCs/>
          <w:b/>
        </w:rPr>
        <w:t xml:space="preserve">umkfmdhsyn</w:t>
      </w:r>
      <w:r>
        <w:t xml:space="preserve">), product lifespan (</w:t>
      </w:r>
      <w:r>
        <w:rPr>
          <w:bCs/>
          <w:b/>
        </w:rPr>
        <w:t xml:space="preserve">kxinyesttt</w:t>
      </w:r>
      <w:r>
        <w:t xml:space="preserve">), energy consumption in use (</w:t>
      </w:r>
      <w:r>
        <w:rPr>
          <w:bCs/>
          <w:b/>
        </w:rPr>
        <w:t xml:space="preserve">zxwggnfdwf</w:t>
      </w:r>
      <w:r>
        <w:t xml:space="preserve">), recyclability percentage (</w:t>
      </w:r>
      <w:r>
        <w:rPr>
          <w:bCs/>
          <w:b/>
        </w:rPr>
        <w:t xml:space="preserve">yjjyggjxti</w:t>
      </w:r>
      <w:r>
        <w:t xml:space="preserve">), and details within the BOM (</w:t>
      </w:r>
      <w:r>
        <w:rPr>
          <w:bCs/>
          <w:b/>
        </w:rPr>
        <w:t xml:space="preserve">hzywufhf</w:t>
      </w:r>
      <w:r>
        <w:t xml:space="preserve">) enhance the accuracy.</w:t>
      </w:r>
    </w:p>
    <w:p>
      <w:pPr>
        <w:numPr>
          <w:ilvl w:val="0"/>
          <w:numId w:val="1019"/>
        </w:numPr>
        <w:pStyle w:val="Compact"/>
      </w:pPr>
      <w:r>
        <w:rPr>
          <w:bCs/>
          <w:b/>
        </w:rPr>
        <w:t xml:space="preserve">Secondary Data:</w:t>
      </w:r>
      <w:r>
        <w:t xml:space="preserve"> </w:t>
      </w:r>
      <w:r>
        <w:t xml:space="preserve">Industry-standard emission factors for materials, transport, and grid electricity are sourced from reputable databases (e.g., Ecoinvent-derived values through Climatiq/OpenCO2.net, DEFRA for transport).</w:t>
      </w:r>
    </w:p>
    <w:p>
      <w:pPr>
        <w:numPr>
          <w:ilvl w:val="0"/>
          <w:numId w:val="1019"/>
        </w:numPr>
        <w:pStyle w:val="Compact"/>
      </w:pPr>
      <w:r>
        <w:rPr>
          <w:bCs/>
          <w:b/>
        </w:rPr>
        <w:t xml:space="preserve">Assumptions:</w:t>
      </w:r>
      <w:r>
        <w:t xml:space="preserve"> </w:t>
      </w:r>
      <w:r>
        <w:t xml:space="preserve">Due to the nature of the prompt, certain details were assumed for illustrative calculations (e.g., specific plastic type for injection molding, exact transport routes/load factors, precise end-of-life processing EFs). The provided string</w:t>
      </w:r>
      <w:r>
        <w:t xml:space="preserve"> </w:t>
      </w:r>
      <w:r>
        <w:rPr>
          <w:bCs/>
          <w:b/>
        </w:rPr>
        <w:t xml:space="preserve">hzywufhf</w:t>
      </w:r>
      <w:r>
        <w:t xml:space="preserve"> </w:t>
      </w:r>
      <w:r>
        <w:t xml:space="preserve">was interpreted as containing the detailed BOM structure, and illustrative values consistent with that format were created for calculation purposes.</w:t>
      </w:r>
    </w:p>
    <w:bookmarkEnd w:id="43"/>
    <w:bookmarkStart w:id="44" w:name="recommendations-for-carbon-reduction"/>
    <w:p>
      <w:pPr>
        <w:pStyle w:val="Heading3"/>
      </w:pPr>
      <w:r>
        <w:t xml:space="preserve">Recommendations for Carbon Reduction</w:t>
      </w:r>
    </w:p>
    <w:p>
      <w:pPr>
        <w:pStyle w:val="FirstParagraph"/>
      </w:pPr>
      <w:r>
        <w:t xml:space="preserve">Based on the identified hotspots, mplfplsrmr should consider the following strategies to reduce the PCF of mwwhhxiyuv:</w:t>
      </w:r>
    </w:p>
    <w:p>
      <w:pPr>
        <w:numPr>
          <w:ilvl w:val="0"/>
          <w:numId w:val="1020"/>
        </w:numPr>
        <w:pStyle w:val="Compact"/>
      </w:pPr>
      <w:r>
        <w:rPr>
          <w:bCs/>
          <w:b/>
        </w:rPr>
        <w:t xml:space="preserve">Optimize Use Phase Efficiency:</w:t>
      </w:r>
      <w:r>
        <w:t xml:space="preserve"> </w:t>
      </w:r>
      <w:r>
        <w:t xml:space="preserve">Given this is the largest hotspot, prioritize product redesign for maximum energy efficiency during use. This could involve using more efficient components, enabling lower power modes, or providing clearer guidance to users on energy-saving operation.</w:t>
      </w:r>
    </w:p>
    <w:p>
      <w:pPr>
        <w:numPr>
          <w:ilvl w:val="0"/>
          <w:numId w:val="1020"/>
        </w:numPr>
        <w:pStyle w:val="Compact"/>
      </w:pPr>
      <w:r>
        <w:rPr>
          <w:bCs/>
          <w:b/>
        </w:rPr>
        <w:t xml:space="preserve">Material Decarbonization:</w:t>
      </w:r>
      <w:r>
        <w:t xml:space="preserve"> </w:t>
      </w:r>
      <w:r>
        <w:t xml:space="preserve">Investigate opportunities to use lower-carbon alternatives for key materials, such as secondary (recycled) aluminum or plastics with lower embodied carbon. Engage with suppliers to encourage the use of renewable energy in their production processes.</w:t>
      </w:r>
    </w:p>
    <w:p>
      <w:pPr>
        <w:numPr>
          <w:ilvl w:val="0"/>
          <w:numId w:val="1020"/>
        </w:numPr>
        <w:pStyle w:val="Compact"/>
      </w:pPr>
      <w:r>
        <w:rPr>
          <w:bCs/>
          <w:b/>
        </w:rPr>
        <w:t xml:space="preserve">Enhance Circularity:</w:t>
      </w:r>
      <w:r>
        <w:t xml:space="preserve"> </w:t>
      </w:r>
      <w:r>
        <w:t xml:space="preserve">Further develop and promote take-back and recycling programs (</w:t>
      </w:r>
      <w:r>
        <w:rPr>
          <w:bCs/>
          <w:b/>
        </w:rPr>
        <w:t xml:space="preserve">lompksntfg</w:t>
      </w:r>
      <w:r>
        <w:t xml:space="preserve">) to maximize material recovery and reuse, reducing the demand for virgin materials and generating greater end-of-life credits. Design for durability, repairability, and ease of disassembly to facilitate longer product lifespans and efficient recycling.</w:t>
      </w:r>
    </w:p>
    <w:p>
      <w:pPr>
        <w:numPr>
          <w:ilvl w:val="0"/>
          <w:numId w:val="1020"/>
        </w:numPr>
        <w:pStyle w:val="Compact"/>
      </w:pPr>
      <w:r>
        <w:rPr>
          <w:bCs/>
          <w:b/>
        </w:rPr>
        <w:t xml:space="preserve">Renewable Energy Expansion:</w:t>
      </w:r>
      <w:r>
        <w:t xml:space="preserve"> </w:t>
      </w:r>
      <w:r>
        <w:t xml:space="preserve">Continue to increase the share of renewable energy in manufacturing operations in China, and explore opportunities within the supply chain to encourage suppliers to do the same.</w:t>
      </w:r>
    </w:p>
    <w:p>
      <w:pPr>
        <w:numPr>
          <w:ilvl w:val="0"/>
          <w:numId w:val="1020"/>
        </w:numPr>
        <w:pStyle w:val="Compact"/>
      </w:pPr>
      <w:r>
        <w:rPr>
          <w:bCs/>
          <w:b/>
        </w:rPr>
        <w:t xml:space="preserve">Logistics Optimization:</w:t>
      </w:r>
      <w:r>
        <w:t xml:space="preserve"> </w:t>
      </w:r>
      <w:r>
        <w:t xml:space="preserve">Optimize transportation routes, utilize more efficient modes (e.g., rail over road for longer distances where feasible), and consolidate shipments to reduce emissions per tonne-km.</w:t>
      </w:r>
    </w:p>
    <w:p>
      <w:r>
        <w:pict>
          <v:rect style="width:0;height:1.5pt" o:hralign="center" o:hrstd="t" o:hr="t"/>
        </w:pict>
      </w:r>
    </w:p>
    <w:p>
      <w:pPr>
        <w:pStyle w:val="FirstParagraph"/>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mwwhhxiyuv</dc:title>
  <dc:creator/>
  <dc:description>High-detail Product Carbon Footprint (PCF) analysis report for mwwhhxiyuv, conducted by ijonujujlt (Senior Sustainability Consultant) for mplfplsrmr, adhering to GHG Protocol and 2026 updates, including material impacts, logistics, energy, use phase, and end-of-life scenarios.</dc:description>
  <dc:language>en</dc:language>
  <cp:keywords/>
  <dcterms:created xsi:type="dcterms:W3CDTF">2026-05-30T18:34:25Z</dcterms:created>
  <dcterms:modified xsi:type="dcterms:W3CDTF">2026-05-30T18:34:25Z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