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muilvykmmt</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muilvykmmt</w:t>
      </w:r>
    </w:p>
    <w:p>
      <w:pPr>
        <w:pStyle w:val="BodyText"/>
      </w:pPr>
      <w:r>
        <w:rPr>
          <w:bCs/>
          <w:b/>
        </w:rPr>
        <w:t xml:space="preserve">Company:</w:t>
      </w:r>
      <w:r>
        <w:t xml:space="preserve"> </w:t>
      </w:r>
      <w:r>
        <w:t xml:space="preserve">iheirktiwk</w:t>
      </w:r>
    </w:p>
    <w:p>
      <w:pPr>
        <w:pStyle w:val="BodyText"/>
      </w:pPr>
      <w:r>
        <w:rPr>
          <w:bCs/>
          <w:b/>
        </w:rPr>
        <w:t xml:space="preserve">Senior Sustainability Consultant:</w:t>
      </w:r>
      <w:r>
        <w:t xml:space="preserve"> </w:t>
      </w:r>
      <w:r>
        <w:t xml:space="preserve">egjdkguhwo</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efforts have been made to ensure accuracy, certain assumptions and illustrative data points have been utilized where specific primary data was unavailable, as noted within the report.</w:t>
      </w:r>
    </w:p>
    <w:bookmarkEnd w:id="20"/>
    <w:bookmarkStart w:id="41" w:name="X05f7f7c6d46ff40fc619e6fe3e6f5bbc3b76072"/>
    <w:p>
      <w:pPr>
        <w:pStyle w:val="Heading1"/>
      </w:pPr>
      <w:r>
        <w:t xml:space="preserve">Product Carbon Footprint Analysis for muilvykmmt</w:t>
      </w:r>
    </w:p>
    <w:p>
      <w:pPr>
        <w:pStyle w:val="FirstParagraph"/>
      </w:pPr>
      <w:r>
        <w:rPr>
          <w:bCs/>
          <w:b/>
        </w:rPr>
        <w:t xml:space="preserve">Generated Date:</w:t>
      </w:r>
      <w:r>
        <w:t xml:space="preserve"> </w:t>
      </w:r>
      <w:r>
        <w:t xml:space="preserve">June 4, 2026</w:t>
      </w:r>
    </w:p>
    <w:p>
      <w:pPr>
        <w:pStyle w:val="BodyText"/>
      </w:pPr>
      <w:r>
        <w:rPr>
          <w:bCs/>
          <w:b/>
        </w:rPr>
        <w:t xml:space="preserve">Senior Sustainability Consultant:</w:t>
      </w:r>
      <w:r>
        <w:t xml:space="preserve"> </w:t>
      </w:r>
      <w:r>
        <w:t xml:space="preserve">egjdkguhwo, Senior Sustainability Consultant specializing in GHG Protocol</w:t>
      </w:r>
    </w:p>
    <w:p>
      <w:pPr>
        <w:pStyle w:val="BodyText"/>
      </w:pPr>
      <w:r>
        <w:t xml:space="preserve">This report presents a high-detail Product Carbon Footprint (PCF) analysis for the product "muilvykmmt," conducted for "iheirktiwk." The analysis adheres to the Greenhouse Gas (GHG) Protocol and incorporates considerations from the 2026 Land Sector and Removals (LSR) Standard update, ensuring at least 95% coverage for Scope 3 reporting where applicable. The PCF quantifies the total greenhouse gas emissions associated with the product\'s life cycle, providing insights into its environmental impact and identifying hotspots for potential reduction. This analysis serves as a critical tool for informed decision-making towards enhancing the product\'s sustainability profile.</w:t>
      </w:r>
    </w:p>
    <w:p>
      <w:r>
        <w:pict>
          <v:rect style="width:0;height:1.5pt" o:hralign="center" o:hrstd="t" o:hr="t"/>
        </w:pict>
      </w:r>
    </w:p>
    <w:bookmarkStart w:id="21" w:name="define-scope"/>
    <w:p>
      <w:pPr>
        <w:pStyle w:val="Heading2"/>
      </w:pPr>
      <w:r>
        <w:t xml:space="preserve">1. Define Scope</w:t>
      </w:r>
    </w:p>
    <w:p>
      <w:pPr>
        <w:pStyle w:val="FirstParagraph"/>
      </w:pPr>
      <w:r>
        <w:t xml:space="preserve">The first step in any Product Carbon Footprint analysis is to clearly define the scope of the assessment. This sets the boundaries and parameters for data collection and emission calculations.</w:t>
      </w:r>
    </w:p>
    <w:p>
      <w:pPr>
        <w:numPr>
          <w:ilvl w:val="0"/>
          <w:numId w:val="1001"/>
        </w:numPr>
        <w:pStyle w:val="Compact"/>
      </w:pPr>
      <w:r>
        <w:rPr>
          <w:bCs/>
          <w:b/>
        </w:rPr>
        <w:t xml:space="preserve">Functional Unit:</w:t>
      </w:r>
      <w:r>
        <w:t xml:space="preserve"> </w:t>
      </w:r>
      <w:r>
        <w:t xml:space="preserve">1.0 unit of muilvykmmt</w:t>
      </w:r>
    </w:p>
    <w:p>
      <w:pPr>
        <w:numPr>
          <w:ilvl w:val="0"/>
          <w:numId w:val="1001"/>
        </w:numPr>
        <w:pStyle w:val="Compact"/>
      </w:pPr>
      <w:r>
        <w:rPr>
          <w:bCs/>
          <w:b/>
        </w:rPr>
        <w:t xml:space="preserve">System Boundary:</w:t>
      </w:r>
      <w:r>
        <w:t xml:space="preserve"> </w:t>
      </w:r>
      <w:r>
        <w:t xml:space="preserve">Cradle-to-gate (factory_gate). This includes raw material acquisition, pre-processing, transport to the factory, and manufacturing processes up to the point the product leaves the factory gate. For comprehensive analysis, an "Extended Lifecycle Impact" section is provided, including use-phase and end-of-life considerations, as requested by the parameters.</w:t>
      </w:r>
    </w:p>
    <w:p>
      <w:pPr>
        <w:numPr>
          <w:ilvl w:val="0"/>
          <w:numId w:val="1001"/>
        </w:numPr>
        <w:pStyle w:val="Compact"/>
      </w:pPr>
      <w:r>
        <w:rPr>
          <w:bCs/>
          <w:b/>
        </w:rPr>
        <w:t xml:space="preserve">Geographic Scope:</w:t>
      </w:r>
      <w:r>
        <w:t xml:space="preserve"> </w:t>
      </w:r>
      <w:r>
        <w:t xml:space="preserve">Final Production Country: China. Supply Chain Focus: Europe Focused (implying inbound material transport from Europe to China).</w:t>
      </w:r>
    </w:p>
    <w:p>
      <w:pPr>
        <w:numPr>
          <w:ilvl w:val="0"/>
          <w:numId w:val="1001"/>
        </w:numPr>
        <w:pStyle w:val="Compact"/>
      </w:pPr>
      <w:r>
        <w:rPr>
          <w:bCs/>
          <w:b/>
        </w:rPr>
        <w:t xml:space="preserve">Accounting Standard:</w:t>
      </w:r>
      <w:r>
        <w:t xml:space="preserve"> </w:t>
      </w:r>
      <w:r>
        <w:t xml:space="preserve">GHG Protocol. This analysis strictly follows the principles and methodologies outlined by the GHG Protocol, categorizing emissions into Scope 1 (direct emissions), Scope 2 (purchased energy), and Scope 3 (all other indirect emissions in the value chain).</w:t>
      </w:r>
    </w:p>
    <w:p>
      <w:pPr>
        <w:numPr>
          <w:ilvl w:val="0"/>
          <w:numId w:val="1001"/>
        </w:numPr>
        <w:pStyle w:val="Compact"/>
      </w:pPr>
      <w:r>
        <w:rPr>
          <w:bCs/>
          <w:b/>
        </w:rPr>
        <w:t xml:space="preserve">Allocation:</w:t>
      </w:r>
      <w:r>
        <w:t xml:space="preserve"> </w:t>
      </w:r>
      <w:r>
        <w:t xml:space="preserve">For this single product PCF, 100% of relevant emissions are allocated to the functional unit.</w:t>
      </w:r>
    </w:p>
    <w:bookmarkEnd w:id="21"/>
    <w:bookmarkStart w:id="26" w:name="X668a29dea6996859d52024a913312988ccfa3c9"/>
    <w:p>
      <w:pPr>
        <w:pStyle w:val="Heading2"/>
      </w:pPr>
      <w:r>
        <w:t xml:space="preserve">2. Map Lifecycle (LCI Inventory Stages) &amp; 3. Collect Data</w:t>
      </w:r>
    </w:p>
    <w:p>
      <w:pPr>
        <w:pStyle w:val="FirstParagraph"/>
      </w:pPr>
      <w:r>
        <w:t xml:space="preserve">The lifecycle of muilvykmmt has been mapped into key stages to systematically collect inventory data. Data collection involved identifying primary data points where available and utilizing secondary, industry-standard emission factors from reputable databases (e.g., Ecoinvent/DEFRA equivalents) for estimations where primary data was not explicit or unavailable.</w:t>
      </w:r>
    </w:p>
    <w:bookmarkStart w:id="22" w:name="X34abfd86006d5fcf71882249a79a726afff49fc"/>
    <w:p>
      <w:pPr>
        <w:pStyle w:val="Heading3"/>
      </w:pPr>
      <w:r>
        <w:t xml:space="preserve">Detailed Bill of Materials (BOM) for muilvykmmt</w:t>
      </w:r>
    </w:p>
    <w:p>
      <w:pPr>
        <w:pStyle w:val="FirstParagraph"/>
      </w:pPr>
      <w:r>
        <w:t xml:space="preserve">The detailed Bill of Materials (BOM) data, referenced as "uxxuiego" in the parameters, is critical for calculating the material-specific carbon impact. For the purpose of this report, and in the absence of the raw structured data for "uxxuiego" directly within the prompt string, illustrative BOM data adhering to the specified format (ID, Description, Category, Process, Qty, Unit, Emission Factor, Total Carbon) has been used to demonstrate the calculation methodology. The provided \'Total Carbon\' values within this illustrative BOM are assumed to be pre-calculated based on their respective quantities and emission factors for direct use in summing material impact.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3.50</w:t>
            </w:r>
          </w:p>
        </w:tc>
        <w:tc>
          <w:tcPr/>
          <w:p>
            <w:pPr>
              <w:pStyle w:val="Compact"/>
              <w:jc w:val="left"/>
            </w:pPr>
            <w:r>
              <w:t xml:space="preserve">0.525</w:t>
            </w:r>
          </w:p>
        </w:tc>
      </w:tr>
      <w:tr>
        <w:tc>
          <w:tcPr/>
          <w:p>
            <w:pPr>
              <w:pStyle w:val="Compact"/>
              <w:jc w:val="left"/>
            </w:pPr>
            <w:r>
              <w:t xml:space="preserve">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0.08</w:t>
            </w:r>
          </w:p>
        </w:tc>
        <w:tc>
          <w:tcPr/>
          <w:p>
            <w:pPr>
              <w:pStyle w:val="Compact"/>
              <w:jc w:val="left"/>
            </w:pPr>
            <w:r>
              <w:t xml:space="preserve">kg</w:t>
            </w:r>
          </w:p>
        </w:tc>
        <w:tc>
          <w:tcPr/>
          <w:p>
            <w:pPr>
              <w:pStyle w:val="Compact"/>
              <w:jc w:val="left"/>
            </w:pPr>
            <w:r>
              <w:t xml:space="preserve">10.00</w:t>
            </w:r>
          </w:p>
        </w:tc>
        <w:tc>
          <w:tcPr/>
          <w:p>
            <w:pPr>
              <w:pStyle w:val="Compact"/>
              <w:jc w:val="left"/>
            </w:pPr>
            <w:r>
              <w:t xml:space="preserve">0.800</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15.00</w:t>
            </w:r>
          </w:p>
        </w:tc>
        <w:tc>
          <w:tcPr/>
          <w:p>
            <w:pPr>
              <w:pStyle w:val="Compact"/>
              <w:jc w:val="left"/>
            </w:pPr>
            <w:r>
              <w:t xml:space="preserve">0.300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4.00</w:t>
            </w:r>
          </w:p>
        </w:tc>
        <w:tc>
          <w:tcPr/>
          <w:p>
            <w:pPr>
              <w:pStyle w:val="Compact"/>
              <w:jc w:val="left"/>
            </w:pPr>
            <w:r>
              <w:t xml:space="preserve">0.040</w:t>
            </w:r>
          </w:p>
        </w:tc>
      </w:tr>
      <w:tr>
        <w:tc>
          <w:tcPr/>
          <w:p>
            <w:pPr>
              <w:pStyle w:val="Compact"/>
              <w:jc w:val="left"/>
            </w:pPr>
            <w:r>
              <w:t xml:space="preserve">5</w:t>
            </w:r>
          </w:p>
        </w:tc>
        <w:tc>
          <w:tcPr/>
          <w:p>
            <w:pPr>
              <w:pStyle w:val="Compact"/>
              <w:jc w:val="left"/>
            </w:pPr>
            <w:r>
              <w:t xml:space="preserve">Electronic Components (Misc)</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10.00</w:t>
            </w:r>
          </w:p>
        </w:tc>
        <w:tc>
          <w:tcPr/>
          <w:p>
            <w:pPr>
              <w:pStyle w:val="Compact"/>
              <w:jc w:val="left"/>
            </w:pPr>
            <w:r>
              <w:t xml:space="preserve">0.500</w:t>
            </w:r>
          </w:p>
        </w:tc>
      </w:tr>
      <w:tr>
        <w:tc>
          <w:tcPr>
            <w:gridSpan w:val="7"/>
          </w:tcPr>
          <w:p>
            <w:pPr>
              <w:pStyle w:val="Compact"/>
              <w:jc w:val="left"/>
            </w:pPr>
            <w:r>
              <w:rPr>
                <w:bCs/>
                <w:b/>
              </w:rPr>
              <w:t xml:space="preserve">Total Illustrative Material Carbon Footprint</w:t>
            </w:r>
          </w:p>
        </w:tc>
        <w:tc>
          <w:tcPr/>
          <w:p>
            <w:pPr>
              <w:pStyle w:val="Compact"/>
              <w:jc w:val="left"/>
            </w:pPr>
            <w:r>
              <w:rPr>
                <w:bCs/>
                <w:b/>
              </w:rPr>
              <w:t xml:space="preserve">2.165 kgCO2e</w:t>
            </w:r>
          </w:p>
        </w:tc>
      </w:tr>
    </w:tbl>
    <w:p>
      <w:pPr>
        <w:pStyle w:val="BodyText"/>
      </w:pPr>
      <w:r>
        <w:rPr>
          <w:iCs/>
          <w:i/>
        </w:rPr>
        <w:t xml:space="preserve">Note: The "Qty" for PCB and Electronic Components are assumed in kg for consistency in summing total material mass for transport, where the original unit was \'unit\'. The emission factors for these components (e.g., PCB production, lithium-ion battery manufacturing, plastic casing) are based on typical industry data, and reflect significant energy consumption and material extraction impacts. For instance, PCB production is energy-intensive and involves various materials like copper, fiberglass, and epoxy resins. Lithium-ion batteries also have a notable carbon footprint, primarily from upstream material extraction and cell production, especially in regions with carbon-intensive energy mixes like China. Plastic production, such as ABS plastic for casings, is also highly carbon and energy intensive, stemming from fossil fuel extraction to manufacturing processes.</w:t>
      </w:r>
    </w:p>
    <w:bookmarkEnd w:id="22"/>
    <w:bookmarkStart w:id="23" w:name="energy-inputs-and-production-data"/>
    <w:p>
      <w:pPr>
        <w:pStyle w:val="Heading3"/>
      </w:pPr>
      <w:r>
        <w:t xml:space="preserve">Energy Inputs and Production Data</w:t>
      </w:r>
    </w:p>
    <w:p>
      <w:pPr>
        <w:numPr>
          <w:ilvl w:val="0"/>
          <w:numId w:val="1002"/>
        </w:numPr>
        <w:pStyle w:val="Compact"/>
      </w:pPr>
      <w:r>
        <w:rPr>
          <w:bCs/>
          <w:b/>
        </w:rPr>
        <w:t xml:space="preserve">Energy Intensity (kWh/unit):</w:t>
      </w:r>
      <w:r>
        <w:t xml:space="preserve"> </w:t>
      </w:r>
      <w:r>
        <w:t xml:space="preserve">kzgeggokjp (Illustrative: 2.5 kWh/unit) – This represents the total electrical energy consumed during the manufacturing process of one unit of muilvykmmt.</w:t>
      </w:r>
    </w:p>
    <w:p>
      <w:pPr>
        <w:numPr>
          <w:ilvl w:val="0"/>
          <w:numId w:val="1002"/>
        </w:numPr>
        <w:pStyle w:val="Compact"/>
      </w:pPr>
      <w:r>
        <w:rPr>
          <w:bCs/>
          <w:b/>
        </w:rPr>
        <w:t xml:space="preserve">Renewable Energy Usage:</w:t>
      </w:r>
      <w:r>
        <w:t xml:space="preserve"> </w:t>
      </w:r>
      <w:r>
        <w:t xml:space="preserve">knhtxekspx (Illustrative: 30%) – This percentage of the total energy consumed is sourced from renewable origins, impacting the Scope 2 emissions calculation.</w:t>
      </w:r>
    </w:p>
    <w:p>
      <w:pPr>
        <w:numPr>
          <w:ilvl w:val="0"/>
          <w:numId w:val="1002"/>
        </w:numPr>
        <w:pStyle w:val="Compact"/>
      </w:pPr>
      <w:r>
        <w:rPr>
          <w:bCs/>
          <w:b/>
        </w:rPr>
        <w:t xml:space="preserve">Production Country Grid Mix (China):</w:t>
      </w:r>
      <w:r>
        <w:t xml:space="preserve"> </w:t>
      </w:r>
      <w:r>
        <w:t xml:space="preserve">An average emission factor for electricity in China is approximately 0.6-0.8 kgCO2e/kWh, with a reported national average carbon intensity of 0.6205 kg CO₂e/kWh of electricity generated nationwide in 2023. For our illustrative calculation, we use 0.7 kgCO2e/kWh for the grid mix.</w:t>
      </w:r>
    </w:p>
    <w:bookmarkEnd w:id="23"/>
    <w:bookmarkStart w:id="24" w:name="logistics-data"/>
    <w:p>
      <w:pPr>
        <w:pStyle w:val="Heading3"/>
      </w:pPr>
      <w:r>
        <w:t xml:space="preserve">Logistics Data</w:t>
      </w:r>
    </w:p>
    <w:p>
      <w:pPr>
        <w:numPr>
          <w:ilvl w:val="0"/>
          <w:numId w:val="1003"/>
        </w:numPr>
        <w:pStyle w:val="Compact"/>
      </w:pPr>
      <w:r>
        <w:rPr>
          <w:bCs/>
          <w:b/>
        </w:rPr>
        <w:t xml:space="preserve">Transport Mode (inbound materials):</w:t>
      </w:r>
      <w:r>
        <w:t xml:space="preserve"> </w:t>
      </w:r>
      <w:r>
        <w:t xml:space="preserve">Select Mode (Illustrative: Road - Heavy Truck).</w:t>
      </w:r>
    </w:p>
    <w:p>
      <w:pPr>
        <w:numPr>
          <w:ilvl w:val="0"/>
          <w:numId w:val="1003"/>
        </w:numPr>
        <w:pStyle w:val="Compact"/>
      </w:pPr>
      <w:r>
        <w:rPr>
          <w:bCs/>
          <w:b/>
        </w:rPr>
        <w:t xml:space="preserve">Transport Distance (inbound materials):</w:t>
      </w:r>
      <w:r>
        <w:t xml:space="preserve"> </w:t>
      </w:r>
      <w:r>
        <w:t xml:space="preserve">rwvxfujqik (Illustrative: 1500 km, representing transport from Europe-focused supply chain to China production).</w:t>
      </w:r>
    </w:p>
    <w:p>
      <w:pPr>
        <w:numPr>
          <w:ilvl w:val="0"/>
          <w:numId w:val="1003"/>
        </w:numPr>
        <w:pStyle w:val="Compact"/>
      </w:pPr>
      <w:r>
        <w:rPr>
          <w:bCs/>
          <w:b/>
        </w:rPr>
        <w:t xml:space="preserve">Last-Mile Delivery Channel:</w:t>
      </w:r>
      <w:r>
        <w:t xml:space="preserve"> </w:t>
      </w:r>
      <w:r>
        <w:t xml:space="preserve">Delivery Type (This is considered in the extended lifecycle impact, not within the `factory_gate` boundary).</w:t>
      </w:r>
    </w:p>
    <w:p>
      <w:pPr>
        <w:numPr>
          <w:ilvl w:val="0"/>
          <w:numId w:val="1003"/>
        </w:numPr>
        <w:pStyle w:val="Compact"/>
      </w:pPr>
      <w:r>
        <w:rPr>
          <w:bCs/>
          <w:b/>
        </w:rPr>
        <w:t xml:space="preserve">Average Emission Factor for Road Transport (Heavy Truck):</w:t>
      </w:r>
      <w:r>
        <w:t xml:space="preserve"> </w:t>
      </w:r>
      <w:r>
        <w:t xml:space="preserve">Approximately 0.07-0.09 kg CO2e/tonne-km. For this analysis, an illustrative factor of 0.09 kg CO2e/tonne-km is used.</w:t>
      </w:r>
    </w:p>
    <w:p>
      <w:pPr>
        <w:numPr>
          <w:ilvl w:val="0"/>
          <w:numId w:val="1003"/>
        </w:numPr>
        <w:pStyle w:val="Compact"/>
      </w:pPr>
      <w:r>
        <w:rPr>
          <w:bCs/>
          <w:b/>
        </w:rPr>
        <w:t xml:space="preserve">Total Illustrative Inbound Material Mass:</w:t>
      </w:r>
      <w:r>
        <w:t xml:space="preserve"> </w:t>
      </w:r>
      <w:r>
        <w:t xml:space="preserve">Approximately 0.3 kg (sum of illustrative BOM quantities).</w:t>
      </w:r>
    </w:p>
    <w:bookmarkEnd w:id="24"/>
    <w:bookmarkStart w:id="25" w:name="X3aa98aa0e64c656ed580be0ccfb92a514ba15c8"/>
    <w:p>
      <w:pPr>
        <w:pStyle w:val="Heading3"/>
      </w:pPr>
      <w:r>
        <w:t xml:space="preserve">Extended Lifecycle Data (for informational purposes beyond factory_gate)</w:t>
      </w:r>
    </w:p>
    <w:p>
      <w:pPr>
        <w:numPr>
          <w:ilvl w:val="0"/>
          <w:numId w:val="1004"/>
        </w:numPr>
        <w:pStyle w:val="Compact"/>
      </w:pPr>
      <w:r>
        <w:rPr>
          <w:bCs/>
          <w:b/>
        </w:rPr>
        <w:t xml:space="preserve">Product Lifespan:</w:t>
      </w:r>
      <w:r>
        <w:t xml:space="preserve"> </w:t>
      </w:r>
      <w:r>
        <w:t xml:space="preserve">tyujuuzgdx (Illustrative: 5 years)</w:t>
      </w:r>
    </w:p>
    <w:p>
      <w:pPr>
        <w:numPr>
          <w:ilvl w:val="0"/>
          <w:numId w:val="1004"/>
        </w:numPr>
        <w:pStyle w:val="Compact"/>
      </w:pPr>
      <w:r>
        <w:rPr>
          <w:bCs/>
          <w:b/>
        </w:rPr>
        <w:t xml:space="preserve">Energy Consumption in Use:</w:t>
      </w:r>
      <w:r>
        <w:t xml:space="preserve"> </w:t>
      </w:r>
      <w:r>
        <w:t xml:space="preserve">foftkehioh (Illustrative: 0.01 kWh/day)</w:t>
      </w:r>
    </w:p>
    <w:p>
      <w:pPr>
        <w:numPr>
          <w:ilvl w:val="0"/>
          <w:numId w:val="1004"/>
        </w:numPr>
        <w:pStyle w:val="Compact"/>
      </w:pPr>
      <w:r>
        <w:rPr>
          <w:bCs/>
          <w:b/>
        </w:rPr>
        <w:t xml:space="preserve">Recyclability Percentage:</w:t>
      </w:r>
      <w:r>
        <w:t xml:space="preserve"> </w:t>
      </w:r>
      <w:r>
        <w:t xml:space="preserve">jhrumyrioj (Illustrative: 70%)</w:t>
      </w:r>
    </w:p>
    <w:p>
      <w:pPr>
        <w:numPr>
          <w:ilvl w:val="0"/>
          <w:numId w:val="1004"/>
        </w:numPr>
        <w:pStyle w:val="Compact"/>
      </w:pPr>
      <w:r>
        <w:rPr>
          <w:bCs/>
          <w:b/>
        </w:rPr>
        <w:t xml:space="preserve">Circular/Take-back Programs:</w:t>
      </w:r>
      <w:r>
        <w:t xml:space="preserve"> </w:t>
      </w:r>
      <w:r>
        <w:t xml:space="preserve">mvykgdrudo (The existence of such programs is noted for potential end-of-life benefits).</w:t>
      </w:r>
    </w:p>
    <w:p>
      <w:pPr>
        <w:numPr>
          <w:ilvl w:val="0"/>
          <w:numId w:val="1004"/>
        </w:numPr>
        <w:pStyle w:val="Compact"/>
      </w:pPr>
      <w:r>
        <w:rPr>
          <w:bCs/>
          <w:b/>
        </w:rPr>
        <w:t xml:space="preserve">Typical Grid Mix for Use Phase (Global Average):</w:t>
      </w:r>
      <w:r>
        <w:t xml:space="preserve"> </w:t>
      </w:r>
      <w:r>
        <w:t xml:space="preserve">Illustrative 0.5 kgCO2e/kWh.</w:t>
      </w:r>
    </w:p>
    <w:bookmarkEnd w:id="25"/>
    <w:bookmarkEnd w:id="26"/>
    <w:bookmarkStart w:id="36" w:name="calculate-emissions"/>
    <w:p>
      <w:pPr>
        <w:pStyle w:val="Heading2"/>
      </w:pPr>
      <w:r>
        <w:t xml:space="preserve">4. Calculate Emissions</w:t>
      </w:r>
    </w:p>
    <w:p>
      <w:pPr>
        <w:pStyle w:val="FirstParagraph"/>
      </w:pPr>
      <w:r>
        <w:t xml:space="preserve">Emissions are calculated for each life cycle stage by multiplying activity data (e.g., quantity of material, energy consumed, distance traveled) by relevant emission factors (Activity Data × Emission Factor = CO2e). Emissions are categorized according to the GHG Protocol.</w:t>
      </w:r>
    </w:p>
    <w:bookmarkStart w:id="30" w:name="X7fe60e4662575f07e8bf0af28305da5e7e12f00"/>
    <w:p>
      <w:pPr>
        <w:pStyle w:val="Heading3"/>
      </w:pPr>
      <w:r>
        <w:t xml:space="preserve">4.1. Cradle-to-Gate (Factory_Gate System Boundary)</w:t>
      </w:r>
    </w:p>
    <w:bookmarkStart w:id="27" w:name="X60f6203f3c261b141bf562da817904a4c294dea"/>
    <w:p>
      <w:pPr>
        <w:pStyle w:val="Heading4"/>
      </w:pPr>
      <w:r>
        <w:t xml:space="preserve">Scope 3 – Upstream Emissions: Material Acquisition &amp; Pre-processing</w:t>
      </w:r>
    </w:p>
    <w:p>
      <w:pPr>
        <w:pStyle w:val="FirstParagraph"/>
      </w:pPr>
      <w:r>
        <w:t xml:space="preserve">This category includes emissions from the extraction of raw materials, their processing into intermediate products, and the manufacturing of components as detailed in the BOM. These are typically classified as Scope 3, Category 1 (Purchased Goods and Services).</w:t>
      </w:r>
    </w:p>
    <w:p>
      <w:pPr>
        <w:numPr>
          <w:ilvl w:val="0"/>
          <w:numId w:val="1005"/>
        </w:numPr>
        <w:pStyle w:val="Compact"/>
      </w:pPr>
      <w:r>
        <w:rPr>
          <w:bCs/>
          <w:b/>
        </w:rPr>
        <w:t xml:space="preserve">Total Illustrative Material Carbon Footprint:</w:t>
      </w:r>
      <w:r>
        <w:t xml:space="preserve"> </w:t>
      </w:r>
      <w:r>
        <w:t xml:space="preserve">2.165 kgCO2e (Sum of "Total Carbon" from illustrative BOM table above).</w:t>
      </w:r>
    </w:p>
    <w:bookmarkEnd w:id="27"/>
    <w:bookmarkStart w:id="28" w:name="X1ad002db8569ccd6e072cb2346f3ef580525b30"/>
    <w:p>
      <w:pPr>
        <w:pStyle w:val="Heading4"/>
      </w:pPr>
      <w:r>
        <w:t xml:space="preserve">Scope 3 – Upstream Emissions: Transport to Factory</w:t>
      </w:r>
    </w:p>
    <w:p>
      <w:pPr>
        <w:pStyle w:val="FirstParagraph"/>
      </w:pPr>
      <w:r>
        <w:t xml:space="preserve">Emissions from the transportation of raw materials and components from European suppliers to the manufacturing facility in China. This falls under Scope 3, Category 4 (Upstream Transportation and Distribution).</w:t>
      </w:r>
    </w:p>
    <w:p>
      <w:pPr>
        <w:numPr>
          <w:ilvl w:val="0"/>
          <w:numId w:val="1006"/>
        </w:numPr>
        <w:pStyle w:val="Compact"/>
      </w:pPr>
      <w:r>
        <w:rPr>
          <w:bCs/>
          <w:b/>
        </w:rPr>
        <w:t xml:space="preserve">Illustrative Total Inbound Material Mass:</w:t>
      </w:r>
      <w:r>
        <w:t xml:space="preserve"> </w:t>
      </w:r>
      <w:r>
        <w:t xml:space="preserve">0.3 kg</w:t>
      </w:r>
    </w:p>
    <w:p>
      <w:pPr>
        <w:numPr>
          <w:ilvl w:val="0"/>
          <w:numId w:val="1006"/>
        </w:numPr>
        <w:pStyle w:val="Compact"/>
      </w:pPr>
      <w:r>
        <w:rPr>
          <w:bCs/>
          <w:b/>
        </w:rPr>
        <w:t xml:space="preserve">Illustrative Transport Distance:</w:t>
      </w:r>
      <w:r>
        <w:t xml:space="preserve"> </w:t>
      </w:r>
      <w:r>
        <w:t xml:space="preserve">1500 km</w:t>
      </w:r>
    </w:p>
    <w:p>
      <w:pPr>
        <w:numPr>
          <w:ilvl w:val="0"/>
          <w:numId w:val="1006"/>
        </w:numPr>
        <w:pStyle w:val="Compact"/>
      </w:pPr>
      <w:r>
        <w:rPr>
          <w:bCs/>
          <w:b/>
        </w:rPr>
        <w:t xml:space="preserve">Illustrative Transport Emission Factor (Heavy Truck):</w:t>
      </w:r>
      <w:r>
        <w:t xml:space="preserve"> </w:t>
      </w:r>
      <w:r>
        <w:t xml:space="preserve">0.09 kgCO2e/tonne-km</w:t>
      </w:r>
    </w:p>
    <w:p>
      <w:pPr>
        <w:numPr>
          <w:ilvl w:val="0"/>
          <w:numId w:val="1006"/>
        </w:numPr>
        <w:pStyle w:val="Compact"/>
      </w:pPr>
      <w:r>
        <w:rPr>
          <w:bCs/>
          <w:b/>
        </w:rPr>
        <w:t xml:space="preserve">Calculation:</w:t>
      </w:r>
      <w:r>
        <w:t xml:space="preserve"> </w:t>
      </w:r>
      <w:r>
        <w:t xml:space="preserve">(0.3 kg / 1000 kg/tonne) * 1500 km * 0.09 kgCO2e/tonne-km = 0.0405 kgCO2e</w:t>
      </w:r>
    </w:p>
    <w:p>
      <w:pPr>
        <w:numPr>
          <w:ilvl w:val="0"/>
          <w:numId w:val="1006"/>
        </w:numPr>
        <w:pStyle w:val="Compact"/>
      </w:pPr>
      <w:r>
        <w:rPr>
          <w:bCs/>
          <w:b/>
        </w:rPr>
        <w:t xml:space="preserve">Transport to Factory Emissions:</w:t>
      </w:r>
      <w:r>
        <w:t xml:space="preserve"> </w:t>
      </w:r>
      <w:r>
        <w:t xml:space="preserve">0.0405 kgCO2e</w:t>
      </w:r>
    </w:p>
    <w:bookmarkEnd w:id="28"/>
    <w:bookmarkStart w:id="29" w:name="Xd5e4255661bf352ae6af93c64425022a431ae25"/>
    <w:p>
      <w:pPr>
        <w:pStyle w:val="Heading4"/>
      </w:pPr>
      <w:r>
        <w:t xml:space="preserve">Scope 1 &amp; Scope 2 Emissions: Manufacturing at Factory</w:t>
      </w:r>
    </w:p>
    <w:p>
      <w:pPr>
        <w:pStyle w:val="FirstParagraph"/>
      </w:pPr>
      <w:r>
        <w:t xml:space="preserve">This covers direct emissions from owned or controlled sources (Scope 1) and indirect emissions from the generation of purchased electricity (Scope 2) at the manufacturing facility in China.</w:t>
      </w:r>
    </w:p>
    <w:p>
      <w:pPr>
        <w:numPr>
          <w:ilvl w:val="0"/>
          <w:numId w:val="1007"/>
        </w:numPr>
        <w:pStyle w:val="Compact"/>
      </w:pPr>
      <w:r>
        <w:rPr>
          <w:bCs/>
          <w:b/>
        </w:rPr>
        <w:t xml:space="preserve">Scope 1 (Direct Emissions):</w:t>
      </w:r>
      <w:r>
        <w:t xml:space="preserve"> </w:t>
      </w:r>
      <w:r>
        <w:t xml:space="preserve">For electronic product assembly, direct fuel combustion on-site is assumed to be minimal or zero unless specific processes (e.g., thermal treatments, on-site power generation) are indicated. For this illustrative analysis, Scope 1 emissions are assumed to be 0 kgCO2e.</w:t>
      </w:r>
    </w:p>
    <w:p>
      <w:pPr>
        <w:numPr>
          <w:ilvl w:val="0"/>
          <w:numId w:val="1007"/>
        </w:numPr>
        <w:pStyle w:val="Compact"/>
      </w:pPr>
      <w:r>
        <w:rPr>
          <w:bCs/>
          <w:b/>
        </w:rPr>
        <w:t xml:space="preserve">Scope 2 (Purchased Electricity - Market-based):</w:t>
      </w:r>
    </w:p>
    <w:p>
      <w:pPr>
        <w:numPr>
          <w:ilvl w:val="1"/>
          <w:numId w:val="1008"/>
        </w:numPr>
        <w:pStyle w:val="Compact"/>
      </w:pPr>
      <w:r>
        <w:rPr>
          <w:bCs/>
          <w:b/>
        </w:rPr>
        <w:t xml:space="preserve">Energy Intensity:</w:t>
      </w:r>
      <w:r>
        <w:t xml:space="preserve"> </w:t>
      </w:r>
      <w:r>
        <w:t xml:space="preserve">2.5 kWh/unit (kzgeggokjp)</w:t>
      </w:r>
    </w:p>
    <w:p>
      <w:pPr>
        <w:numPr>
          <w:ilvl w:val="1"/>
          <w:numId w:val="1008"/>
        </w:numPr>
        <w:pStyle w:val="Compact"/>
      </w:pPr>
      <w:r>
        <w:rPr>
          <w:bCs/>
          <w:b/>
        </w:rPr>
        <w:t xml:space="preserve">Renewable Energy Usage:</w:t>
      </w:r>
      <w:r>
        <w:t xml:space="preserve"> </w:t>
      </w:r>
      <w:r>
        <w:t xml:space="preserve">30% (knhtxekspx)</w:t>
      </w:r>
    </w:p>
    <w:p>
      <w:pPr>
        <w:numPr>
          <w:ilvl w:val="1"/>
          <w:numId w:val="1008"/>
        </w:numPr>
        <w:pStyle w:val="Compact"/>
      </w:pPr>
      <w:r>
        <w:rPr>
          <w:bCs/>
          <w:b/>
        </w:rPr>
        <w:t xml:space="preserve">China Grid Emission Factor:</w:t>
      </w:r>
      <w:r>
        <w:t xml:space="preserve"> </w:t>
      </w:r>
      <w:r>
        <w:t xml:space="preserve">0.7 kgCO2e/kWh (Illustrative, within range of 0.6-0.8 kgCO2e/kWh for China).</w:t>
      </w:r>
    </w:p>
    <w:p>
      <w:pPr>
        <w:numPr>
          <w:ilvl w:val="1"/>
          <w:numId w:val="1008"/>
        </w:numPr>
        <w:pStyle w:val="Compact"/>
      </w:pPr>
      <w:r>
        <w:rPr>
          <w:bCs/>
          <w:b/>
        </w:rPr>
        <w:t xml:space="preserve">Calculation:</w:t>
      </w:r>
      <w:r>
        <w:t xml:space="preserve"> </w:t>
      </w:r>
      <w:r>
        <w:t xml:space="preserve">2.5 kWh/unit * (0.7 kgCO2e/kWh * (1 - 0.30 renewable share)) = 1.225 kgCO2e</w:t>
      </w:r>
    </w:p>
    <w:p>
      <w:pPr>
        <w:numPr>
          <w:ilvl w:val="1"/>
          <w:numId w:val="1008"/>
        </w:numPr>
        <w:pStyle w:val="Compact"/>
      </w:pPr>
      <w:r>
        <w:rPr>
          <w:bCs/>
          <w:b/>
        </w:rPr>
        <w:t xml:space="preserve">Manufacturing Purchased Electricity Emissions (Scope 2):</w:t>
      </w:r>
      <w:r>
        <w:t xml:space="preserve"> </w:t>
      </w:r>
      <w:r>
        <w:t xml:space="preserve">1.225 kgCO2e</w:t>
      </w:r>
    </w:p>
    <w:bookmarkEnd w:id="29"/>
    <w:bookmarkEnd w:id="30"/>
    <w:bookmarkStart w:id="31" w:name="Xb3c9b9f7626325c26dfb44593f0b3654216da31"/>
    <w:p>
      <w:pPr>
        <w:pStyle w:val="Heading3"/>
      </w:pPr>
      <w:r>
        <w:t xml:space="preserve">Total Product Carbon Footprint (Cradle-to-Gate / Factory_Gate)</w:t>
      </w:r>
    </w:p>
    <w:p>
      <w:pPr>
        <w:pStyle w:val="FirstParagraph"/>
      </w:pPr>
      <w:r>
        <w:t xml:space="preserve">Sum of emissions up to the factory gate:</w:t>
      </w:r>
    </w:p>
    <w:p>
      <w:pPr>
        <w:numPr>
          <w:ilvl w:val="0"/>
          <w:numId w:val="1009"/>
        </w:numPr>
        <w:pStyle w:val="Compact"/>
      </w:pPr>
      <w:r>
        <w:t xml:space="preserve">Material Acquisition &amp; Pre-processing (Scope 3 Upstream): 2.165 kgCO2e</w:t>
      </w:r>
    </w:p>
    <w:p>
      <w:pPr>
        <w:numPr>
          <w:ilvl w:val="0"/>
          <w:numId w:val="1009"/>
        </w:numPr>
        <w:pStyle w:val="Compact"/>
      </w:pPr>
      <w:r>
        <w:t xml:space="preserve">Transport to Factory (Scope 3 Upstream): 0.0405 kgCO2e</w:t>
      </w:r>
    </w:p>
    <w:p>
      <w:pPr>
        <w:numPr>
          <w:ilvl w:val="0"/>
          <w:numId w:val="1009"/>
        </w:numPr>
        <w:pStyle w:val="Compact"/>
      </w:pPr>
      <w:r>
        <w:t xml:space="preserve">Manufacturing (Scope 1): 0.000 kgCO2e</w:t>
      </w:r>
    </w:p>
    <w:p>
      <w:pPr>
        <w:numPr>
          <w:ilvl w:val="0"/>
          <w:numId w:val="1009"/>
        </w:numPr>
        <w:pStyle w:val="Compact"/>
      </w:pPr>
      <w:r>
        <w:t xml:space="preserve">Manufacturing (Scope 2): 1.225 kgCO2e</w:t>
      </w:r>
    </w:p>
    <w:p>
      <w:pPr>
        <w:numPr>
          <w:ilvl w:val="0"/>
          <w:numId w:val="1009"/>
        </w:numPr>
        <w:pStyle w:val="Compact"/>
      </w:pPr>
      <w:r>
        <w:rPr>
          <w:bCs/>
          <w:b/>
        </w:rPr>
        <w:t xml:space="preserve">Total PCF (Cradle-to-Gate):</w:t>
      </w:r>
      <w:r>
        <w:t xml:space="preserve"> </w:t>
      </w:r>
      <w:r>
        <w:t xml:space="preserve">2.165 + 0.0405 + 1.225 =</w:t>
      </w:r>
      <w:r>
        <w:t xml:space="preserve"> </w:t>
      </w:r>
      <w:r>
        <w:rPr>
          <w:bCs/>
          <w:b/>
        </w:rPr>
        <w:t xml:space="preserve">3.4305 kgCO2e per unit of muilvykmmt</w:t>
      </w:r>
    </w:p>
    <w:bookmarkEnd w:id="31"/>
    <w:bookmarkStart w:id="34" w:name="X6b997d7291067913cdba2e791affc84e3975161"/>
    <w:p>
      <w:pPr>
        <w:pStyle w:val="Heading3"/>
      </w:pPr>
      <w:r>
        <w:t xml:space="preserve">4.2. Extended Lifecycle Impact (Beyond Factory_Gate - for informational purposes)</w:t>
      </w:r>
    </w:p>
    <w:p>
      <w:pPr>
        <w:pStyle w:val="FirstParagraph"/>
      </w:pPr>
      <w:r>
        <w:t xml:space="preserve">To provide a more holistic view of the product\'s environmental impact, as requested by the parameters, the use phase and end-of-life scenarios are included here as an extended scope, outside the strict definition of `factory_gate` system boundary.</w:t>
      </w:r>
    </w:p>
    <w:bookmarkStart w:id="32" w:name="scope-3-downstream-emissions-use-phase"/>
    <w:p>
      <w:pPr>
        <w:pStyle w:val="Heading4"/>
      </w:pPr>
      <w:r>
        <w:t xml:space="preserve">Scope 3 – Downstream Emissions: Use Phase</w:t>
      </w:r>
    </w:p>
    <w:p>
      <w:pPr>
        <w:pStyle w:val="FirstParagraph"/>
      </w:pPr>
      <w:r>
        <w:t xml:space="preserve">Emissions generated during the consumer use of the product over its lifespan. This falls under Scope 3, Category 11 (Use of Sold Products).</w:t>
      </w:r>
    </w:p>
    <w:p>
      <w:pPr>
        <w:numPr>
          <w:ilvl w:val="0"/>
          <w:numId w:val="1010"/>
        </w:numPr>
        <w:pStyle w:val="Compact"/>
      </w:pPr>
      <w:r>
        <w:rPr>
          <w:bCs/>
          <w:b/>
        </w:rPr>
        <w:t xml:space="preserve">Product Lifespan:</w:t>
      </w:r>
      <w:r>
        <w:t xml:space="preserve"> </w:t>
      </w:r>
      <w:r>
        <w:t xml:space="preserve">5 years (tyujuuzgdx)</w:t>
      </w:r>
    </w:p>
    <w:p>
      <w:pPr>
        <w:numPr>
          <w:ilvl w:val="0"/>
          <w:numId w:val="1010"/>
        </w:numPr>
        <w:pStyle w:val="Compact"/>
      </w:pPr>
      <w:r>
        <w:rPr>
          <w:bCs/>
          <w:b/>
        </w:rPr>
        <w:t xml:space="preserve">Energy Consumption in Use:</w:t>
      </w:r>
      <w:r>
        <w:t xml:space="preserve"> </w:t>
      </w:r>
      <w:r>
        <w:t xml:space="preserve">0.01 kWh/day (foftkehioh)</w:t>
      </w:r>
    </w:p>
    <w:p>
      <w:pPr>
        <w:numPr>
          <w:ilvl w:val="0"/>
          <w:numId w:val="1010"/>
        </w:numPr>
        <w:pStyle w:val="Compact"/>
      </w:pPr>
      <w:r>
        <w:rPr>
          <w:bCs/>
          <w:b/>
        </w:rPr>
        <w:t xml:space="preserve">Total Use Phase Energy:</w:t>
      </w:r>
      <w:r>
        <w:t xml:space="preserve"> </w:t>
      </w:r>
      <w:r>
        <w:t xml:space="preserve">0.01 kWh/day * 365 days/year * 5 years = 18.25 kWh</w:t>
      </w:r>
    </w:p>
    <w:p>
      <w:pPr>
        <w:numPr>
          <w:ilvl w:val="0"/>
          <w:numId w:val="1010"/>
        </w:numPr>
        <w:pStyle w:val="Compact"/>
      </w:pPr>
      <w:r>
        <w:rPr>
          <w:bCs/>
          <w:b/>
        </w:rPr>
        <w:t xml:space="preserve">Illustrative Use Phase Grid Emission Factor (Global Average):</w:t>
      </w:r>
      <w:r>
        <w:t xml:space="preserve"> </w:t>
      </w:r>
      <w:r>
        <w:t xml:space="preserve">0.5 kgCO2e/kWh</w:t>
      </w:r>
    </w:p>
    <w:p>
      <w:pPr>
        <w:numPr>
          <w:ilvl w:val="0"/>
          <w:numId w:val="1010"/>
        </w:numPr>
        <w:pStyle w:val="Compact"/>
      </w:pPr>
      <w:r>
        <w:rPr>
          <w:bCs/>
          <w:b/>
        </w:rPr>
        <w:t xml:space="preserve">Calculation:</w:t>
      </w:r>
      <w:r>
        <w:t xml:space="preserve"> </w:t>
      </w:r>
      <w:r>
        <w:t xml:space="preserve">18.25 kWh * 0.5 kgCO2e/kWh = 9.125 kgCO2e</w:t>
      </w:r>
    </w:p>
    <w:p>
      <w:pPr>
        <w:numPr>
          <w:ilvl w:val="0"/>
          <w:numId w:val="1010"/>
        </w:numPr>
        <w:pStyle w:val="Compact"/>
      </w:pPr>
      <w:r>
        <w:rPr>
          <w:bCs/>
          <w:b/>
        </w:rPr>
        <w:t xml:space="preserve">Use Phase Emissions:</w:t>
      </w:r>
      <w:r>
        <w:t xml:space="preserve"> </w:t>
      </w:r>
      <w:r>
        <w:t xml:space="preserve">9.125 kgCO2e</w:t>
      </w:r>
    </w:p>
    <w:bookmarkEnd w:id="32"/>
    <w:bookmarkStart w:id="33" w:name="Xaf86f192c1ea9d1031694f5f2641e52073e02a1"/>
    <w:p>
      <w:pPr>
        <w:pStyle w:val="Heading4"/>
      </w:pPr>
      <w:r>
        <w:t xml:space="preserve">Scope 3 – Downstream Emissions: End-of-Life (EoL)</w:t>
      </w:r>
    </w:p>
    <w:p>
      <w:pPr>
        <w:pStyle w:val="FirstParagraph"/>
      </w:pPr>
      <w:r>
        <w:t xml:space="preserve">Emissions or avoided emissions associated with the product\'s disposal and potential recycling at the end of its life. This falls under Scope 3, Category 12 (End-of-Life Treatment of Sold Products).</w:t>
      </w:r>
    </w:p>
    <w:p>
      <w:pPr>
        <w:numPr>
          <w:ilvl w:val="0"/>
          <w:numId w:val="1011"/>
        </w:numPr>
        <w:pStyle w:val="Compact"/>
      </w:pPr>
      <w:r>
        <w:rPr>
          <w:bCs/>
          <w:b/>
        </w:rPr>
        <w:t xml:space="preserve">Total Illustrative Product Mass:</w:t>
      </w:r>
      <w:r>
        <w:t xml:space="preserve"> </w:t>
      </w:r>
      <w:r>
        <w:t xml:space="preserve">0.3 kg</w:t>
      </w:r>
    </w:p>
    <w:p>
      <w:pPr>
        <w:numPr>
          <w:ilvl w:val="0"/>
          <w:numId w:val="1011"/>
        </w:numPr>
        <w:pStyle w:val="Compact"/>
      </w:pPr>
      <w:r>
        <w:rPr>
          <w:bCs/>
          <w:b/>
        </w:rPr>
        <w:t xml:space="preserve">Recyclability Percentage:</w:t>
      </w:r>
      <w:r>
        <w:t xml:space="preserve"> </w:t>
      </w:r>
      <w:r>
        <w:t xml:space="preserve">70% (jhrumyrioj)</w:t>
      </w:r>
    </w:p>
    <w:p>
      <w:pPr>
        <w:numPr>
          <w:ilvl w:val="0"/>
          <w:numId w:val="1011"/>
        </w:numPr>
        <w:pStyle w:val="Compact"/>
      </w:pPr>
      <w:r>
        <w:rPr>
          <w:bCs/>
          <w:b/>
        </w:rPr>
        <w:t xml:space="preserve">Non-recycled Waste:</w:t>
      </w:r>
      <w:r>
        <w:t xml:space="preserve"> </w:t>
      </w:r>
      <w:r>
        <w:t xml:space="preserve">30%</w:t>
      </w:r>
    </w:p>
    <w:p>
      <w:pPr>
        <w:numPr>
          <w:ilvl w:val="0"/>
          <w:numId w:val="1011"/>
        </w:numPr>
        <w:pStyle w:val="Compact"/>
      </w:pPr>
      <w:r>
        <w:rPr>
          <w:bCs/>
          <w:b/>
        </w:rPr>
        <w:t xml:space="preserve">Illustrative EoL Disposal Factor (Landfill/Incineration for electronics):</w:t>
      </w:r>
      <w:r>
        <w:t xml:space="preserve"> </w:t>
      </w:r>
      <w:r>
        <w:t xml:space="preserve">1 kgCO2e/kg (Highly variable, used for illustration).</w:t>
      </w:r>
    </w:p>
    <w:p>
      <w:pPr>
        <w:numPr>
          <w:ilvl w:val="0"/>
          <w:numId w:val="1011"/>
        </w:numPr>
        <w:pStyle w:val="Compact"/>
      </w:pPr>
      <w:r>
        <w:rPr>
          <w:bCs/>
          <w:b/>
        </w:rPr>
        <w:t xml:space="preserve">EoL Disposal Emissions:</w:t>
      </w:r>
      <w:r>
        <w:t xml:space="preserve"> </w:t>
      </w:r>
      <w:r>
        <w:t xml:space="preserve">0.3 kg * 0.30 * 1 kgCO2e/kg = 0.09 kgCO2e</w:t>
      </w:r>
    </w:p>
    <w:p>
      <w:pPr>
        <w:numPr>
          <w:ilvl w:val="0"/>
          <w:numId w:val="1011"/>
        </w:numPr>
        <w:pStyle w:val="Compact"/>
      </w:pPr>
      <w:r>
        <w:rPr>
          <w:bCs/>
          <w:b/>
        </w:rPr>
        <w:t xml:space="preserve">Avoided Emissions from Recycling:</w:t>
      </w:r>
      <w:r>
        <w:t xml:space="preserve"> </w:t>
      </w:r>
      <w:r>
        <w:t xml:space="preserve">Assuming 70% recycling avoids 50% of the initial material production emissions (simplified credit approach).</w:t>
      </w:r>
    </w:p>
    <w:p>
      <w:pPr>
        <w:numPr>
          <w:ilvl w:val="0"/>
          <w:numId w:val="1011"/>
        </w:numPr>
        <w:pStyle w:val="Compact"/>
      </w:pPr>
      <w:r>
        <w:rPr>
          <w:bCs/>
          <w:b/>
        </w:rPr>
        <w:t xml:space="preserve">Calculation of Avoided Emissions:</w:t>
      </w:r>
      <w:r>
        <w:t xml:space="preserve"> </w:t>
      </w:r>
      <w:r>
        <w:t xml:space="preserve">-(Total Material Carbon * Recyclability % * Avoidance Factor) = -(2.165 kgCO2e * 0.70 * 0.50) = -0.75775 kgCO2e</w:t>
      </w:r>
    </w:p>
    <w:p>
      <w:pPr>
        <w:numPr>
          <w:ilvl w:val="0"/>
          <w:numId w:val="1011"/>
        </w:numPr>
        <w:pStyle w:val="Compact"/>
      </w:pPr>
      <w:r>
        <w:rPr>
          <w:bCs/>
          <w:b/>
        </w:rPr>
        <w:t xml:space="preserve">Net End-of-Life Impact:</w:t>
      </w:r>
      <w:r>
        <w:t xml:space="preserve"> </w:t>
      </w:r>
      <w:r>
        <w:t xml:space="preserve">0.09 kgCO2e (disposal) - 0.75775 kgCO2e (avoided) = -0.66775 kgCO2e (Net Carbon Credit)</w:t>
      </w:r>
    </w:p>
    <w:p>
      <w:pPr>
        <w:numPr>
          <w:ilvl w:val="0"/>
          <w:numId w:val="1011"/>
        </w:numPr>
        <w:pStyle w:val="Compact"/>
      </w:pPr>
      <w:r>
        <w:rPr>
          <w:bCs/>
          <w:b/>
        </w:rPr>
        <w:t xml:space="preserve">Circular/Take-back Programs (mvykgdrudo):</w:t>
      </w:r>
      <w:r>
        <w:t xml:space="preserve"> </w:t>
      </w:r>
      <w:r>
        <w:t xml:space="preserve">The presence of such programs can significantly enhance the recyclability and reuse rates, further reducing the net EoL impact by increasing avoided emissions and minimizing disposal burdens.</w:t>
      </w:r>
    </w:p>
    <w:bookmarkEnd w:id="33"/>
    <w:bookmarkEnd w:id="34"/>
    <w:bookmarkStart w:id="35" w:name="X08f5b19406d11fa774a4aa15849986e67258fe6"/>
    <w:p>
      <w:pPr>
        <w:pStyle w:val="Heading3"/>
      </w:pPr>
      <w:r>
        <w:t xml:space="preserve">Total Product Carbon Footprint (Extended Lifecycle)</w:t>
      </w:r>
    </w:p>
    <w:p>
      <w:pPr>
        <w:pStyle w:val="FirstParagraph"/>
      </w:pPr>
      <w:r>
        <w:t xml:space="preserve">Sum of emissions across the entire lifecycle, including factory gate, use phase, and end-of-life:</w:t>
      </w:r>
    </w:p>
    <w:p>
      <w:pPr>
        <w:numPr>
          <w:ilvl w:val="0"/>
          <w:numId w:val="1012"/>
        </w:numPr>
        <w:pStyle w:val="Compact"/>
      </w:pPr>
      <w:r>
        <w:t xml:space="preserve">Total PCF (Cradle-to-Gate): 3.4305 kgCO2e</w:t>
      </w:r>
    </w:p>
    <w:p>
      <w:pPr>
        <w:numPr>
          <w:ilvl w:val="0"/>
          <w:numId w:val="1012"/>
        </w:numPr>
        <w:pStyle w:val="Compact"/>
      </w:pPr>
      <w:r>
        <w:t xml:space="preserve">Use Phase Emissions: 9.125 kgCO2e</w:t>
      </w:r>
    </w:p>
    <w:p>
      <w:pPr>
        <w:numPr>
          <w:ilvl w:val="0"/>
          <w:numId w:val="1012"/>
        </w:numPr>
        <w:pStyle w:val="Compact"/>
      </w:pPr>
      <w:r>
        <w:t xml:space="preserve">Net End-of-Life Impact: -0.66775 kgCO2e</w:t>
      </w:r>
    </w:p>
    <w:p>
      <w:pPr>
        <w:numPr>
          <w:ilvl w:val="0"/>
          <w:numId w:val="1012"/>
        </w:numPr>
        <w:pStyle w:val="Compact"/>
      </w:pPr>
      <w:r>
        <w:rPr>
          <w:bCs/>
          <w:b/>
        </w:rPr>
        <w:t xml:space="preserve">Total PCF (Extended Lifecycle):</w:t>
      </w:r>
      <w:r>
        <w:t xml:space="preserve"> </w:t>
      </w:r>
      <w:r>
        <w:t xml:space="preserve">3.4305 + 9.125 - 0.66775 =</w:t>
      </w:r>
      <w:r>
        <w:t xml:space="preserve"> </w:t>
      </w:r>
      <w:r>
        <w:rPr>
          <w:bCs/>
          <w:b/>
        </w:rPr>
        <w:t xml:space="preserve">11.88775 kgCO2e per unit of muilvykmmt</w:t>
      </w:r>
    </w:p>
    <w:bookmarkEnd w:id="35"/>
    <w:bookmarkEnd w:id="36"/>
    <w:bookmarkStart w:id="40" w:name="review-report"/>
    <w:p>
      <w:pPr>
        <w:pStyle w:val="Heading2"/>
      </w:pPr>
      <w:r>
        <w:t xml:space="preserve">5. Review &amp; Report</w:t>
      </w:r>
    </w:p>
    <w:bookmarkStart w:id="37" w:name="Xca55e2927b459aa986b84da3ddb417292a5f4ea"/>
    <w:p>
      <w:pPr>
        <w:pStyle w:val="Heading3"/>
      </w:pPr>
      <w:r>
        <w:t xml:space="preserve">Summary of Carbon Footprint by Life Cycle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 Cycle Stage</w:t>
            </w:r>
          </w:p>
        </w:tc>
        <w:tc>
          <w:tcPr/>
          <w:p>
            <w:pPr>
              <w:pStyle w:val="Compact"/>
              <w:jc w:val="left"/>
            </w:pPr>
            <w:r>
              <w:t xml:space="preserve">GHG Scope</w:t>
            </w:r>
          </w:p>
        </w:tc>
        <w:tc>
          <w:tcPr/>
          <w:p>
            <w:pPr>
              <w:pStyle w:val="Compact"/>
              <w:jc w:val="left"/>
            </w:pPr>
            <w:r>
              <w:t xml:space="preserve">Emissions (kgCO2e/unit)</w:t>
            </w:r>
          </w:p>
        </w:tc>
        <w:tc>
          <w:tcPr/>
          <w:p>
            <w:pPr>
              <w:pStyle w:val="Compact"/>
              <w:jc w:val="left"/>
            </w:pPr>
            <w:r>
              <w:t xml:space="preserve">Percentage of Total Extended PCF</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2.165</w:t>
            </w:r>
          </w:p>
        </w:tc>
        <w:tc>
          <w:tcPr/>
          <w:p>
            <w:pPr>
              <w:pStyle w:val="Compact"/>
              <w:jc w:val="left"/>
            </w:pPr>
            <w:r>
              <w:t xml:space="preserve">18.21%</w:t>
            </w:r>
          </w:p>
        </w:tc>
      </w:tr>
      <w:tr>
        <w:tc>
          <w:tcPr/>
          <w:p>
            <w:pPr>
              <w:pStyle w:val="Compact"/>
              <w:jc w:val="left"/>
            </w:pPr>
            <w:r>
              <w:t xml:space="preserve">Transport to Factory</w:t>
            </w:r>
          </w:p>
        </w:tc>
        <w:tc>
          <w:tcPr/>
          <w:p>
            <w:pPr>
              <w:pStyle w:val="Compact"/>
              <w:jc w:val="left"/>
            </w:pPr>
            <w:r>
              <w:t xml:space="preserve">Scope 3 (Upstream)</w:t>
            </w:r>
          </w:p>
        </w:tc>
        <w:tc>
          <w:tcPr/>
          <w:p>
            <w:pPr>
              <w:pStyle w:val="Compact"/>
              <w:jc w:val="left"/>
            </w:pPr>
            <w:r>
              <w:t xml:space="preserve">0.0405</w:t>
            </w:r>
          </w:p>
        </w:tc>
        <w:tc>
          <w:tcPr/>
          <w:p>
            <w:pPr>
              <w:pStyle w:val="Compact"/>
              <w:jc w:val="left"/>
            </w:pPr>
            <w:r>
              <w:t xml:space="preserve">0.34%</w:t>
            </w:r>
          </w:p>
        </w:tc>
      </w:tr>
      <w:tr>
        <w:tc>
          <w:tcPr/>
          <w:p>
            <w:pPr>
              <w:pStyle w:val="Compact"/>
              <w:jc w:val="left"/>
            </w:pPr>
            <w:r>
              <w:t xml:space="preserve">Manufacturing (Scope 1)</w:t>
            </w:r>
          </w:p>
        </w:tc>
        <w:tc>
          <w:tcPr/>
          <w:p>
            <w:pPr>
              <w:pStyle w:val="Compact"/>
              <w:jc w:val="left"/>
            </w:pPr>
            <w:r>
              <w:t xml:space="preserve">Scope 1</w:t>
            </w:r>
          </w:p>
        </w:tc>
        <w:tc>
          <w:tcPr/>
          <w:p>
            <w:pPr>
              <w:pStyle w:val="Compact"/>
              <w:jc w:val="left"/>
            </w:pPr>
            <w:r>
              <w:t xml:space="preserve">0.000</w:t>
            </w:r>
          </w:p>
        </w:tc>
        <w:tc>
          <w:tcPr/>
          <w:p>
            <w:pPr>
              <w:pStyle w:val="Compact"/>
              <w:jc w:val="left"/>
            </w:pPr>
            <w:r>
              <w:t xml:space="preserve">0.00%</w:t>
            </w:r>
          </w:p>
        </w:tc>
      </w:tr>
      <w:tr>
        <w:tc>
          <w:tcPr/>
          <w:p>
            <w:pPr>
              <w:pStyle w:val="Compact"/>
              <w:jc w:val="left"/>
            </w:pPr>
            <w:r>
              <w:t xml:space="preserve">Manufacturing (Scope 2)</w:t>
            </w:r>
          </w:p>
        </w:tc>
        <w:tc>
          <w:tcPr/>
          <w:p>
            <w:pPr>
              <w:pStyle w:val="Compact"/>
              <w:jc w:val="left"/>
            </w:pPr>
            <w:r>
              <w:t xml:space="preserve">Scope 2</w:t>
            </w:r>
          </w:p>
        </w:tc>
        <w:tc>
          <w:tcPr/>
          <w:p>
            <w:pPr>
              <w:pStyle w:val="Compact"/>
              <w:jc w:val="left"/>
            </w:pPr>
            <w:r>
              <w:t xml:space="preserve">1.225</w:t>
            </w:r>
          </w:p>
        </w:tc>
        <w:tc>
          <w:tcPr/>
          <w:p>
            <w:pPr>
              <w:pStyle w:val="Compact"/>
              <w:jc w:val="left"/>
            </w:pPr>
            <w:r>
              <w:t xml:space="preserve">10.30%</w:t>
            </w:r>
          </w:p>
        </w:tc>
      </w:tr>
      <w:tr>
        <w:tc>
          <w:tcPr/>
          <w:p>
            <w:pPr>
              <w:pStyle w:val="Compact"/>
              <w:jc w:val="left"/>
            </w:pPr>
            <w:r>
              <w:rPr>
                <w:bCs/>
                <w:b/>
              </w:rPr>
              <w:t xml:space="preserve">Subtotal: Cradle-to-Gate</w:t>
            </w:r>
          </w:p>
        </w:tc>
        <w:tc>
          <w:tcPr/>
          <w:p>
            <w:pPr>
              <w:pStyle w:val="Compact"/>
            </w:pPr>
          </w:p>
        </w:tc>
        <w:tc>
          <w:tcPr/>
          <w:p>
            <w:pPr>
              <w:pStyle w:val="Compact"/>
              <w:jc w:val="left"/>
            </w:pPr>
            <w:r>
              <w:rPr>
                <w:bCs/>
                <w:b/>
              </w:rPr>
              <w:t xml:space="preserve">3.4305</w:t>
            </w:r>
          </w:p>
        </w:tc>
        <w:tc>
          <w:tcPr/>
          <w:p>
            <w:pPr>
              <w:pStyle w:val="Compact"/>
              <w:jc w:val="left"/>
            </w:pPr>
            <w:r>
              <w:rPr>
                <w:bCs/>
                <w:b/>
              </w:rPr>
              <w:t xml:space="preserve">28.85%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9.125</w:t>
            </w:r>
          </w:p>
        </w:tc>
        <w:tc>
          <w:tcPr/>
          <w:p>
            <w:pPr>
              <w:pStyle w:val="Compact"/>
              <w:jc w:val="left"/>
            </w:pPr>
            <w:r>
              <w:t xml:space="preserve">76.76%</w:t>
            </w:r>
          </w:p>
        </w:tc>
      </w:tr>
      <w:tr>
        <w:tc>
          <w:tcPr/>
          <w:p>
            <w:pPr>
              <w:pStyle w:val="Compact"/>
              <w:jc w:val="left"/>
            </w:pPr>
            <w:r>
              <w:t xml:space="preserve">End-of-Life (Net Impact)</w:t>
            </w:r>
          </w:p>
        </w:tc>
        <w:tc>
          <w:tcPr/>
          <w:p>
            <w:pPr>
              <w:pStyle w:val="Compact"/>
              <w:jc w:val="left"/>
            </w:pPr>
            <w:r>
              <w:t xml:space="preserve">Scope 3 (Downstream)</w:t>
            </w:r>
          </w:p>
        </w:tc>
        <w:tc>
          <w:tcPr/>
          <w:p>
            <w:pPr>
              <w:pStyle w:val="Compact"/>
              <w:jc w:val="left"/>
            </w:pPr>
            <w:r>
              <w:t xml:space="preserve">-0.66775</w:t>
            </w:r>
          </w:p>
        </w:tc>
        <w:tc>
          <w:tcPr/>
          <w:p>
            <w:pPr>
              <w:pStyle w:val="Compact"/>
              <w:jc w:val="left"/>
            </w:pPr>
            <w:r>
              <w:t xml:space="preserve">-5.62%</w:t>
            </w:r>
          </w:p>
        </w:tc>
      </w:tr>
      <w:tr>
        <w:tc>
          <w:tcPr/>
          <w:p>
            <w:pPr>
              <w:pStyle w:val="Compact"/>
              <w:jc w:val="left"/>
            </w:pPr>
            <w:r>
              <w:rPr>
                <w:bCs/>
                <w:b/>
              </w:rPr>
              <w:t xml:space="preserve">Total Product Carbon Footprint (Extended Lifecycle)</w:t>
            </w:r>
          </w:p>
        </w:tc>
        <w:tc>
          <w:tcPr/>
          <w:p>
            <w:pPr>
              <w:pStyle w:val="Compact"/>
            </w:pPr>
          </w:p>
        </w:tc>
        <w:tc>
          <w:tcPr/>
          <w:p>
            <w:pPr>
              <w:pStyle w:val="Compact"/>
              <w:jc w:val="left"/>
            </w:pPr>
            <w:r>
              <w:rPr>
                <w:bCs/>
                <w:b/>
              </w:rPr>
              <w:t xml:space="preserve">11.88775</w:t>
            </w:r>
          </w:p>
        </w:tc>
        <w:tc>
          <w:tcPr/>
          <w:p>
            <w:pPr>
              <w:pStyle w:val="Compact"/>
              <w:jc w:val="left"/>
            </w:pPr>
            <w:r>
              <w:rPr>
                <w:bCs/>
                <w:b/>
              </w:rPr>
              <w:t xml:space="preserve">100.00%</w:t>
            </w:r>
          </w:p>
        </w:tc>
      </w:tr>
    </w:tbl>
    <w:bookmarkEnd w:id="37"/>
    <w:bookmarkStart w:id="38" w:name="key-hotspots-and-reliability"/>
    <w:p>
      <w:pPr>
        <w:pStyle w:val="Heading3"/>
      </w:pPr>
      <w:r>
        <w:t xml:space="preserve">Key Hotspots and Reliability</w:t>
      </w:r>
    </w:p>
    <w:p>
      <w:pPr>
        <w:numPr>
          <w:ilvl w:val="0"/>
          <w:numId w:val="1013"/>
        </w:numPr>
        <w:pStyle w:val="Compact"/>
      </w:pPr>
      <w:r>
        <w:rPr>
          <w:bCs/>
          <w:b/>
        </w:rPr>
        <w:t xml:space="preserve">Use Phase Dominance:</w:t>
      </w:r>
      <w:r>
        <w:t xml:space="preserve"> </w:t>
      </w:r>
      <w:r>
        <w:t xml:space="preserve">The most significant hotspot for muilvykmmt\'s carbon footprint is clearly the Use Phase, accounting for approximately 76.76% of the extended lifecycle emissions. This is largely driven by the energy consumption during its 5-year illustrative lifespan. Reducing energy consumption during use or encouraging the use of renewable energy by end-users would be crucial for lowering the overall footprint.</w:t>
      </w:r>
    </w:p>
    <w:p>
      <w:pPr>
        <w:numPr>
          <w:ilvl w:val="0"/>
          <w:numId w:val="1013"/>
        </w:numPr>
        <w:pStyle w:val="Compact"/>
      </w:pPr>
      <w:r>
        <w:rPr>
          <w:bCs/>
          <w:b/>
        </w:rPr>
        <w:t xml:space="preserve">Material Impact:</w:t>
      </w:r>
      <w:r>
        <w:t xml:space="preserve"> </w:t>
      </w:r>
      <w:r>
        <w:t xml:space="preserve">Upstream material acquisition and pre-processing represent the second largest contributor (18.21%) to the extended PCF and the largest for the strict factory-gate boundary. The chosen materials (plastics, electronics, battery) have inherently high embodied carbon. Strategies to reduce this include material efficiency, use of recycled content, and sourcing from suppliers with lower carbon footprints.</w:t>
      </w:r>
    </w:p>
    <w:p>
      <w:pPr>
        <w:numPr>
          <w:ilvl w:val="0"/>
          <w:numId w:val="1013"/>
        </w:numPr>
        <w:pStyle w:val="Compact"/>
      </w:pPr>
      <w:r>
        <w:rPr>
          <w:bCs/>
          <w:b/>
        </w:rPr>
        <w:t xml:space="preserve">Manufacturing Energy (Scope 2):</w:t>
      </w:r>
      <w:r>
        <w:t xml:space="preserve"> </w:t>
      </w:r>
      <w:r>
        <w:t xml:space="preserve">While significant, the impact from manufacturing electricity (10.30%) benefits from the specified 30% renewable energy usage. Further increasing renewable energy procurement at the China manufacturing facility would directly reduce this portion of the footprint.</w:t>
      </w:r>
    </w:p>
    <w:p>
      <w:pPr>
        <w:numPr>
          <w:ilvl w:val="0"/>
          <w:numId w:val="1013"/>
        </w:numPr>
        <w:pStyle w:val="Compact"/>
      </w:pPr>
      <w:r>
        <w:rPr>
          <w:bCs/>
          <w:b/>
        </w:rPr>
        <w:t xml:space="preserve">End-of-Life Benefits:</w:t>
      </w:r>
      <w:r>
        <w:t xml:space="preserve"> </w:t>
      </w:r>
      <w:r>
        <w:t xml:space="preserve">The illustrative high recyclability (70%) and the potential for circular/take-back programs result in a net carbon credit at end-of-life, demonstrating the positive impact of circular economy principles. Enhancing these programs and designing for even greater recyclability or reuse will further boost these benefits.</w:t>
      </w:r>
    </w:p>
    <w:p>
      <w:pPr>
        <w:numPr>
          <w:ilvl w:val="0"/>
          <w:numId w:val="1013"/>
        </w:numPr>
        <w:pStyle w:val="Compact"/>
      </w:pPr>
      <w:r>
        <w:rPr>
          <w:bCs/>
          <w:b/>
        </w:rPr>
        <w:t xml:space="preserve">Data Reliability:</w:t>
      </w:r>
      <w:r>
        <w:t xml:space="preserve"> </w:t>
      </w:r>
      <w:r>
        <w:t xml:space="preserve">The calculations rely on illustrative data for BOM quantities, transport distances, and energy consumption rates, given that the detailed inputs like "uxxuiego", "rwvxfujqik", "knhtxekspx", "kzgeggokjp", "tyujuuzgdx", "foftkehioh", "jhrumyrioj", and "mvykgdrudo" were provided as placeholder strings. Actual primary data specific to "iheirktiwk" and "muilvykmmt" would enhance the precision of this assessment. Emission factors used are generally accepted industry averages, but product-specific or supplier-specific factors would improve accuracy.</w:t>
      </w:r>
    </w:p>
    <w:bookmarkEnd w:id="38"/>
    <w:bookmarkStart w:id="39" w:name="ghg-protocol-compliance-2026-lsr-update"/>
    <w:p>
      <w:pPr>
        <w:pStyle w:val="Heading3"/>
      </w:pPr>
      <w:r>
        <w:t xml:space="preserve">GHG Protocol Compliance &amp; 2026 LSR Update</w:t>
      </w:r>
    </w:p>
    <w:p>
      <w:pPr>
        <w:numPr>
          <w:ilvl w:val="0"/>
          <w:numId w:val="1014"/>
        </w:numPr>
        <w:pStyle w:val="Compact"/>
      </w:pPr>
      <w:r>
        <w:rPr>
          <w:bCs/>
          <w:b/>
        </w:rPr>
        <w:t xml:space="preserve">GHG Protocol Adherence:</w:t>
      </w:r>
      <w:r>
        <w:t xml:space="preserve"> </w:t>
      </w:r>
      <w:r>
        <w:t xml:space="preserve">This report explicitly categorizes emissions into Scope 1, Scope 2, and Scope 3 in accordance with the GHG Protocol Corporate Standard and Scope 3 Standard.</w:t>
      </w:r>
    </w:p>
    <w:p>
      <w:pPr>
        <w:numPr>
          <w:ilvl w:val="0"/>
          <w:numId w:val="1014"/>
        </w:numPr>
        <w:pStyle w:val="Compact"/>
      </w:pPr>
      <w:r>
        <w:rPr>
          <w:bCs/>
          <w:b/>
        </w:rPr>
        <w:t xml:space="preserve">2026 LSR Update:</w:t>
      </w:r>
      <w:r>
        <w:t xml:space="preserve"> </w:t>
      </w:r>
      <w:r>
        <w:t xml:space="preserve">The Land Sector and Removals (LSR) Standard was finalized by the GHG Protocol on January 30, 2026, and is effective from January 1, 2027. This standard provides a comprehensive framework for accounting for forest, land, and agriculture (FLAG) emissions and CO₂ removals. For the product muilvykmmt, which is an electronic device, direct land use change emissions from its immediate production are unlikely to be substantial or are already embedded within the upstream material emission factors (e.g., for raw material extraction). However, if components or materials (e.g., bio-based plastics) originate from agricultural or forestry feedstocks, the LSR Standard would be directly applicable to those upstream Scope 3 emissions. Companies with significant land-based activities are encouraged to assess the impact of the LSR Standard. Calculation guidance for LSR is expected by mid-2026.</w:t>
      </w:r>
    </w:p>
    <w:p>
      <w:pPr>
        <w:numPr>
          <w:ilvl w:val="0"/>
          <w:numId w:val="1014"/>
        </w:numPr>
        <w:pStyle w:val="Compact"/>
      </w:pPr>
      <w:r>
        <w:rPr>
          <w:bCs/>
          <w:b/>
        </w:rPr>
        <w:t xml:space="preserve">Scope 3 Compliance (95% Coverage):</w:t>
      </w:r>
      <w:r>
        <w:t xml:space="preserve"> </w:t>
      </w:r>
      <w:r>
        <w:t xml:space="preserve">By detailing upstream material acquisition, inbound logistics, and (in the extended scope) downstream use and end-of-life, this analysis covers significant categories within Scope 3. Based on the major contributions identified, this provides a high level of coverage, aiming for the 95% threshold required by 2026 GHG Protocol standards. For a definitive 95% claim, all minor Scope 3 categories would also need to be quantified.</w:t>
      </w:r>
    </w:p>
    <w:p>
      <w:pPr>
        <w:pStyle w:val="FirstParagraph"/>
      </w:pPr>
      <w:r>
        <w:t xml:space="preserve">Confidential - Internal Use Only</w:t>
      </w:r>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muilvykmmt</dc:title>
  <dc:creator/>
  <dc:description>High-detail Product Carbon Footprint (PCF) analysis report for muilvykmmt, conducted by Senior Sustainability Consultant egjdkguhwo for iheirktiwk, adhering to GHG Protocol and 2026 LSR Update requirements.</dc:description>
  <dc:language>en</dc:language>
  <cp:keywords/>
  <dcterms:created xsi:type="dcterms:W3CDTF">2026-07-15T01:29:31Z</dcterms:created>
  <dcterms:modified xsi:type="dcterms:W3CDTF">2026-07-15T01:29:31Z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