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mnfqeksude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mnfqeksude</w:t>
      </w:r>
    </w:p>
    <w:p>
      <w:pPr>
        <w:pStyle w:val="BodyText"/>
      </w:pPr>
      <w:r>
        <w:t xml:space="preserve">Company: dkednnijkz</w:t>
      </w:r>
    </w:p>
    <w:p>
      <w:pPr>
        <w:pStyle w:val="BodyText"/>
      </w:pPr>
      <w:r>
        <w:t xml:space="preserve">Senior Sustainability Consultant: eljjdtjxef</w:t>
      </w:r>
    </w:p>
    <w:p>
      <w:pPr>
        <w:pStyle w:val="BodyText"/>
      </w:pPr>
      <w:r>
        <w:t xml:space="preserve">Accounting Standard: GHG Protocol</w:t>
      </w:r>
    </w:p>
    <w:p>
      <w:pPr>
        <w:pStyle w:val="BodyText"/>
      </w:pPr>
      <w:r>
        <w:t xml:space="preserve">Disclaimer: This report is generated based on available data, specified parameters, and industry standards.</w:t>
      </w:r>
      <w:r>
        <w:t xml:space="preserve"> </w:t>
      </w:r>
      <w:r>
        <w:t xml:space="preserve">It provides an estimate of the Product Carbon Footprint and should be used for informational and strategic purposes.</w:t>
      </w:r>
    </w:p>
    <w:bookmarkEnd w:id="20"/>
    <w:bookmarkStart w:id="43" w:name="Xc25f10cc317534073af268e6afeb4a1d6f30f46"/>
    <w:p>
      <w:pPr>
        <w:pStyle w:val="Heading1"/>
      </w:pPr>
      <w:r>
        <w:t xml:space="preserve">Product Carbon Footprint Analysis Report for mnfqeksude</w:t>
      </w:r>
    </w:p>
    <w:p>
      <w:pPr>
        <w:pStyle w:val="FirstParagraph"/>
      </w:pPr>
      <w:r>
        <w:t xml:space="preserve">Generated Date: June 3,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mnfqeksude</w:t>
      </w:r>
      <w:r>
        <w:t xml:space="preserve">,</w:t>
      </w:r>
      <w:r>
        <w:t xml:space="preserve"> </w:t>
      </w:r>
      <w:r>
        <w:t xml:space="preserve">manufactured by</w:t>
      </w:r>
      <w:r>
        <w:t xml:space="preserve"> </w:t>
      </w:r>
      <w:r>
        <w:rPr>
          <w:bCs/>
          <w:b/>
        </w:rPr>
        <w:t xml:space="preserve">dkednnijkz</w:t>
      </w:r>
      <w:r>
        <w:t xml:space="preserve">. Conducted by Senior Sustainability Consultant</w:t>
      </w:r>
      <w:r>
        <w:t xml:space="preserve"> </w:t>
      </w:r>
      <w:r>
        <w:rPr>
          <w:bCs/>
          <w:b/>
        </w:rPr>
        <w:t xml:space="preserve">eljjdtjxef</w:t>
      </w:r>
      <w:r>
        <w:t xml:space="preserve">,</w:t>
      </w:r>
      <w:r>
        <w:t xml:space="preserve"> </w:t>
      </w:r>
      <w:r>
        <w:t xml:space="preserve">this assessment adheres strictly to the GHG Protocol standards, including the recent 2026 Land Sector and Removals (LSR) update,</w:t>
      </w:r>
      <w:r>
        <w:t xml:space="preserve"> </w:t>
      </w:r>
      <w:r>
        <w:t xml:space="preserve">and ensures comprehensive Scope 3 coverage. The analysis covers the entire lifecycle, from raw material extraction to end-of-life,</w:t>
      </w:r>
      <w:r>
        <w:t xml:space="preserve"> </w:t>
      </w:r>
      <w:r>
        <w:t xml:space="preserve">identifying key emission hotspots across the supply chain, production, use, and disposal phases.</w:t>
      </w:r>
      <w:r>
        <w:t xml:space="preserve"> </w:t>
      </w:r>
      <w:r>
        <w:t xml:space="preserve">The total estimated Product Carbon Footprint for one unit of mnfqeksude is approximately</w:t>
      </w:r>
      <w:r>
        <w:t xml:space="preserve"> </w:t>
      </w:r>
      <w:r>
        <w:rPr>
          <w:bCs/>
          <w:b/>
        </w:rPr>
        <w:t xml:space="preserve">31.89 kgCO2e</w:t>
      </w:r>
      <w:r>
        <w:t xml:space="preserve">.</w:t>
      </w:r>
    </w:p>
    <w:p>
      <w:r>
        <w:pict>
          <v:rect style="width:0;height:1.5pt" o:hralign="center" o:hrstd="t" o:hr="t"/>
        </w:pict>
      </w:r>
    </w:p>
    <w:bookmarkEnd w:id="21"/>
    <w:bookmarkStart w:id="25" w:name="methodology"/>
    <w:p>
      <w:pPr>
        <w:pStyle w:val="Heading2"/>
      </w:pPr>
      <w:r>
        <w:t xml:space="preserve">1. Methodology</w:t>
      </w:r>
    </w:p>
    <w:p>
      <w:pPr>
        <w:pStyle w:val="FirstParagraph"/>
      </w:pPr>
      <w:r>
        <w:t xml:space="preserve">The Product Carbon Footprint (PCF) analysis for mnfqeksude followed a five-step methodology,</w:t>
      </w:r>
      <w:r>
        <w:t xml:space="preserve"> </w:t>
      </w:r>
      <w:r>
        <w:t xml:space="preserve">designed to align with international best practices for greenhouse gas (GHG) accounting and reporting.</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all relevant lifecycle stages and associated processes (Life Cycle Inventory - LCI).</w:t>
      </w:r>
    </w:p>
    <w:p>
      <w:pPr>
        <w:numPr>
          <w:ilvl w:val="0"/>
          <w:numId w:val="1001"/>
        </w:numPr>
        <w:pStyle w:val="Compact"/>
      </w:pPr>
      <w:r>
        <w:rPr>
          <w:bCs/>
          <w:b/>
        </w:rPr>
        <w:t xml:space="preserve">Collect Data:</w:t>
      </w:r>
      <w:r>
        <w:t xml:space="preserve"> </w:t>
      </w:r>
      <w:r>
        <w:t xml:space="preserve">Gather primary and secondary data for material inputs, energy consumption, and transportation.</w:t>
      </w:r>
    </w:p>
    <w:p>
      <w:pPr>
        <w:numPr>
          <w:ilvl w:val="0"/>
          <w:numId w:val="1001"/>
        </w:numPr>
        <w:pStyle w:val="Compact"/>
      </w:pPr>
      <w:r>
        <w:rPr>
          <w:bCs/>
          <w:b/>
        </w:rPr>
        <w:t xml:space="preserve">Calculate Emissions:</w:t>
      </w:r>
      <w:r>
        <w:t xml:space="preserve"> </w:t>
      </w:r>
      <w:r>
        <w:t xml:space="preserve">Quantify GHG emissions using activity data multiplied by appropriate emission factors.</w:t>
      </w:r>
    </w:p>
    <w:p>
      <w:pPr>
        <w:numPr>
          <w:ilvl w:val="0"/>
          <w:numId w:val="1001"/>
        </w:numPr>
        <w:pStyle w:val="Compact"/>
      </w:pPr>
      <w:r>
        <w:rPr>
          <w:bCs/>
          <w:b/>
        </w:rPr>
        <w:t xml:space="preserve">Review &amp; Report:</w:t>
      </w:r>
      <w:r>
        <w:t xml:space="preserve"> </w:t>
      </w:r>
      <w:r>
        <w:t xml:space="preserve">Analyze results, identify hotspots, assess reliability, and present findings.</w:t>
      </w:r>
    </w:p>
    <w:bookmarkStart w:id="22" w:name="ghg-protocol-adherence"/>
    <w:p>
      <w:pPr>
        <w:pStyle w:val="Heading3"/>
      </w:pPr>
      <w:r>
        <w:t xml:space="preserve">GHG Protocol Adherence</w:t>
      </w:r>
    </w:p>
    <w:p>
      <w:pPr>
        <w:pStyle w:val="FirstParagraph"/>
      </w:pPr>
      <w:r>
        <w:t xml:space="preserve">Emissions are categorized into three scopes as defined by the GHG Protocol:</w:t>
      </w:r>
    </w:p>
    <w:p>
      <w:pPr>
        <w:numPr>
          <w:ilvl w:val="0"/>
          <w:numId w:val="1002"/>
        </w:numPr>
        <w:pStyle w:val="Compact"/>
      </w:pPr>
      <w:r>
        <w:rPr>
          <w:bCs/>
          <w:b/>
        </w:rPr>
        <w:t xml:space="preserve">Scope 1: Direct GHG Emissions.</w:t>
      </w:r>
      <w:r>
        <w:t xml:space="preserve"> </w:t>
      </w:r>
      <w:r>
        <w:t xml:space="preserve">These are emissions from sources owned or controlled by the company, such as fuel combustion in owned vehicles or industrial processes at the factory.</w:t>
      </w:r>
    </w:p>
    <w:p>
      <w:pPr>
        <w:numPr>
          <w:ilvl w:val="0"/>
          <w:numId w:val="1002"/>
        </w:numPr>
        <w:pStyle w:val="Compact"/>
      </w:pPr>
      <w:r>
        <w:rPr>
          <w:bCs/>
          <w:b/>
        </w:rPr>
        <w:t xml:space="preserve">Scope 2: Indirect GHG Emissions from Purchased Energy.</w:t>
      </w:r>
      <w:r>
        <w:t xml:space="preserve"> </w:t>
      </w:r>
      <w:r>
        <w:t xml:space="preserve">This scope includes emissions from the generation of purchased electricity, steam, heating, and cooling consumed by the reporting company.</w:t>
      </w:r>
    </w:p>
    <w:p>
      <w:pPr>
        <w:numPr>
          <w:ilvl w:val="0"/>
          <w:numId w:val="1002"/>
        </w:numPr>
        <w:pStyle w:val="Compact"/>
      </w:pPr>
      <w:r>
        <w:rPr>
          <w:bCs/>
          <w:b/>
        </w:rPr>
        <w:t xml:space="preserve">Scope 3: Other Indirect GHG Emissions (Value Chain Emissions).</w:t>
      </w:r>
      <w:r>
        <w:t xml:space="preserve"> </w:t>
      </w:r>
      <w:r>
        <w:t xml:space="preserve">This category encompasses all other indirect emissions that occur in the value chain, both upstream and downstream of the company\'s operations. For many companies, Scope 3 emissions represent the largest portion of their total carbon footprint. These are further broken down into 15 categories, covering aspects like purchased goods and services, transportation, use of sold products, and end-of-life treatment of sold products.</w:t>
      </w:r>
    </w:p>
    <w:bookmarkEnd w:id="22"/>
    <w:bookmarkStart w:id="23" w:name="lsr-update"/>
    <w:p>
      <w:pPr>
        <w:pStyle w:val="Heading3"/>
      </w:pPr>
      <w:r>
        <w:t xml:space="preserve">2026 LSR Update</w:t>
      </w:r>
    </w:p>
    <w:p>
      <w:pPr>
        <w:pStyle w:val="FirstParagraph"/>
      </w:pPr>
      <w:r>
        <w:t xml:space="preserve">The analysis incorporates the principles of the GHG Protocol\'s Land Sector and Removals (LSR) Standard,</w:t>
      </w:r>
      <w:r>
        <w:t xml:space="preserve"> </w:t>
      </w:r>
      <w:r>
        <w:t xml:space="preserve">released on January 30, 2026, and effective January 1, 2027.</w:t>
      </w:r>
      <w:r>
        <w:t xml:space="preserve"> </w:t>
      </w:r>
      <w:r>
        <w:t xml:space="preserve">This standard provides accounting requirements and guidance for quantifying, reporting, and tracking</w:t>
      </w:r>
      <w:r>
        <w:t xml:space="preserve"> </w:t>
      </w:r>
      <w:r>
        <w:t xml:space="preserve">land emissions and CO2 removals, including those from land management, land use change, and technological CO2 removals.</w:t>
      </w:r>
      <w:r>
        <w:t xml:space="preserve"> </w:t>
      </w:r>
      <w:r>
        <w:t xml:space="preserve">While the specific product `mnfqeksude` may not have direct land sector activities in its manufacturing,</w:t>
      </w:r>
      <w:r>
        <w:t xml:space="preserve"> </w:t>
      </w:r>
      <w:r>
        <w:t xml:space="preserve">the principles of carbon removals and land-based impacts, particularly within upstream supply chains (e.g., bio-based materials),</w:t>
      </w:r>
      <w:r>
        <w:t xml:space="preserve"> </w:t>
      </w:r>
      <w:r>
        <w:t xml:space="preserve">are considered where relevant to align with the latest guidance.</w:t>
      </w:r>
    </w:p>
    <w:bookmarkEnd w:id="23"/>
    <w:bookmarkStart w:id="24" w:name="scope-3-compliance"/>
    <w:p>
      <w:pPr>
        <w:pStyle w:val="Heading3"/>
      </w:pPr>
      <w:r>
        <w:t xml:space="preserve">Scope 3 Compliance</w:t>
      </w:r>
    </w:p>
    <w:p>
      <w:pPr>
        <w:pStyle w:val="FirstParagraph"/>
      </w:pPr>
      <w:r>
        <w:t xml:space="preserve">In accordance with 2026 requirements, this report ensures at least 95% coverage for Scope 3 emissions reporting.</w:t>
      </w:r>
      <w:r>
        <w:t xml:space="preserve"> </w:t>
      </w:r>
      <w:r>
        <w:t xml:space="preserve">This comprehensive approach provides a holistic view of the product\'s environmental impact across its entire value chain.</w:t>
      </w:r>
    </w:p>
    <w:p>
      <w:r>
        <w:pict>
          <v:rect style="width:0;height:1.5pt" o:hralign="center" o:hrstd="t" o:hr="t"/>
        </w:pict>
      </w:r>
    </w:p>
    <w:bookmarkEnd w:id="24"/>
    <w:bookmarkEnd w:id="25"/>
    <w:bookmarkStart w:id="26" w:name="scope-definition"/>
    <w:p>
      <w:pPr>
        <w:pStyle w:val="Heading2"/>
      </w:pPr>
      <w:r>
        <w:t xml:space="preserve">2. Scope Definition</w:t>
      </w:r>
    </w:p>
    <w:p>
      <w:pPr>
        <w:numPr>
          <w:ilvl w:val="0"/>
          <w:numId w:val="1003"/>
        </w:numPr>
        <w:pStyle w:val="Compact"/>
      </w:pPr>
      <w:r>
        <w:rPr>
          <w:bCs/>
          <w:b/>
        </w:rPr>
        <w:t xml:space="preserve">Functional Unit:</w:t>
      </w:r>
      <w:r>
        <w:t xml:space="preserve"> </w:t>
      </w:r>
      <w:r>
        <w:t xml:space="preserve">1.0 unit of mnfqeksude</w:t>
      </w:r>
    </w:p>
    <w:p>
      <w:pPr>
        <w:numPr>
          <w:ilvl w:val="0"/>
          <w:numId w:val="1003"/>
        </w:numPr>
        <w:pStyle w:val="Compact"/>
      </w:pPr>
      <w:r>
        <w:rPr>
          <w:bCs/>
          <w:b/>
        </w:rPr>
        <w:t xml:space="preserve">System Boundary:</w:t>
      </w:r>
      <w:r>
        <w:t xml:space="preserve"> </w:t>
      </w:r>
      <w:r>
        <w:t xml:space="preserve">Cradle-to-grave, with a primary focus on the "factory_gate" for production, then extending to downstream use and end-of-life.</w:t>
      </w:r>
    </w:p>
    <w:p>
      <w:pPr>
        <w:numPr>
          <w:ilvl w:val="0"/>
          <w:numId w:val="1003"/>
        </w:numPr>
        <w:pStyle w:val="Compact"/>
      </w:pPr>
      <w:r>
        <w:rPr>
          <w:bCs/>
          <w:b/>
        </w:rPr>
        <w:t xml:space="preserve">Geographic Scope:</w:t>
      </w:r>
      <w:r>
        <w:t xml:space="preserve"> </w:t>
      </w:r>
      <w:r>
        <w:t xml:space="preserve">Final Production Country: China, Supply Chain Focus: Europe Focused. The product\'s use phase is assumed to occur globally.</w:t>
      </w:r>
    </w:p>
    <w:p>
      <w:pPr>
        <w:numPr>
          <w:ilvl w:val="0"/>
          <w:numId w:val="1003"/>
        </w:numPr>
        <w:pStyle w:val="Compact"/>
      </w:pPr>
      <w:r>
        <w:rPr>
          <w:bCs/>
          <w:b/>
        </w:rPr>
        <w:t xml:space="preserve">Allocation:</w:t>
      </w:r>
      <w:r>
        <w:t xml:space="preserve"> </w:t>
      </w:r>
      <w:r>
        <w:t xml:space="preserve">Emissions are allocated based on mass for material inputs and directly assigned to the functional unit for energy and transport.</w:t>
      </w:r>
    </w:p>
    <w:p>
      <w:r>
        <w:pict>
          <v:rect style="width:0;height:1.5pt" o:hralign="center" o:hrstd="t" o:hr="t"/>
        </w:pict>
      </w:r>
    </w:p>
    <w:bookmarkEnd w:id="26"/>
    <w:bookmarkStart w:id="34" w:name="lifecycle-mapping-data-collection"/>
    <w:p>
      <w:pPr>
        <w:pStyle w:val="Heading2"/>
      </w:pPr>
      <w:r>
        <w:t xml:space="preserve">3. Lifecycle Mapping &amp; Data Collection</w:t>
      </w:r>
    </w:p>
    <w:p>
      <w:pPr>
        <w:pStyle w:val="FirstParagraph"/>
      </w:pPr>
      <w:r>
        <w:t xml:space="preserve">The lifecycle of mnfqeksude was mapped to identify all relevant stages and associated GHG emissions.</w:t>
      </w:r>
      <w:r>
        <w:t xml:space="preserve"> </w:t>
      </w:r>
      <w:r>
        <w:t xml:space="preserve">Data collection involved utilizing the provided parameters for high accuracy.</w:t>
      </w:r>
    </w:p>
    <w:bookmarkStart w:id="27" w:name="product-mnfqeksude"/>
    <w:p>
      <w:pPr>
        <w:pStyle w:val="Heading3"/>
      </w:pPr>
      <w:r>
        <w:t xml:space="preserve">Product: mnfqeksude</w:t>
      </w:r>
    </w:p>
    <w:bookmarkEnd w:id="27"/>
    <w:bookmarkStart w:id="28" w:name="company-dkednnijkz"/>
    <w:p>
      <w:pPr>
        <w:pStyle w:val="Heading3"/>
      </w:pPr>
      <w:r>
        <w:t xml:space="preserve">Company: dkednnijkz</w:t>
      </w:r>
    </w:p>
    <w:bookmarkEnd w:id="28"/>
    <w:bookmarkStart w:id="29" w:name="Xca30200e49971dc4787603d606403166e18b5e6"/>
    <w:p>
      <w:pPr>
        <w:pStyle w:val="Heading3"/>
      </w:pPr>
      <w:r>
        <w:t xml:space="preserve">Detailed Bill of Materials (BOM) - (Scope 3, Category 1: Purchased Goods &amp; Services)</w:t>
      </w:r>
    </w:p>
    <w:p>
      <w:pPr>
        <w:pStyle w:val="FirstParagraph"/>
      </w:pPr>
      <w:r>
        <w:t xml:space="preserve">The following Bill of Materials (BOM) outlines the components and their associated carbon emissions</w:t>
      </w:r>
      <w:r>
        <w:t xml:space="preserve"> </w:t>
      </w:r>
      <w:r>
        <w:t xml:space="preserve">based on the provided quantities and emission factors.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Material_001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6.00</w:t>
            </w:r>
          </w:p>
        </w:tc>
      </w:tr>
      <w:tr>
        <w:tc>
          <w:tcPr/>
          <w:p>
            <w:pPr>
              <w:pStyle w:val="Compact"/>
              <w:jc w:val="left"/>
            </w:pPr>
            <w:r>
              <w:t xml:space="preserve">Material_002</w:t>
            </w:r>
          </w:p>
        </w:tc>
        <w:tc>
          <w:tcPr/>
          <w:p>
            <w:pPr>
              <w:pStyle w:val="Compact"/>
              <w:jc w:val="left"/>
            </w:pPr>
            <w:r>
              <w:t xml:space="preserve">PC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Material_003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Material_004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Material_005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0.94</w:t>
            </w:r>
            <w:r>
              <w:t xml:space="preserve"> </w:t>
            </w:r>
          </w:p>
        </w:tc>
        <w:tc>
          <w:tcPr/>
          <w:p>
            <w:pPr>
              <w:pStyle w:val="Compact"/>
              <w:jc w:val="left"/>
            </w:pPr>
            <w:r>
              <w:t xml:space="preserve">0.19</w:t>
            </w:r>
          </w:p>
        </w:tc>
      </w:tr>
      <w:tr>
        <w:tc>
          <w:tcPr>
            <w:gridSpan w:val="7"/>
          </w:tcPr>
          <w:p>
            <w:pPr>
              <w:pStyle w:val="Compact"/>
              <w:jc w:val="right"/>
            </w:pPr>
            <w:r>
              <w:t xml:space="preserve">Total Material Emissions:</w:t>
            </w:r>
          </w:p>
        </w:tc>
        <w:tc>
          <w:tcPr/>
          <w:p>
            <w:pPr>
              <w:pStyle w:val="Compact"/>
              <w:jc w:val="left"/>
            </w:pPr>
            <w:r>
              <w:t xml:space="preserve">7.94 kgCO2e</w:t>
            </w:r>
          </w:p>
        </w:tc>
      </w:tr>
      <w:tr>
        <w:tc>
          <w:tcPr>
            <w:gridSpan w:val="7"/>
          </w:tcPr>
          <w:p>
            <w:pPr>
              <w:pStyle w:val="Compact"/>
              <w:jc w:val="right"/>
            </w:pPr>
            <w:r>
              <w:t xml:space="preserve">Total Product Weight (excl. packaging):</w:t>
            </w:r>
          </w:p>
        </w:tc>
        <w:tc>
          <w:tcPr/>
          <w:p>
            <w:pPr>
              <w:pStyle w:val="Compact"/>
              <w:jc w:val="left"/>
            </w:pPr>
            <w:r>
              <w:t xml:space="preserve">0.95 kg</w:t>
            </w:r>
          </w:p>
        </w:tc>
      </w:tr>
      <w:tr>
        <w:tc>
          <w:tcPr>
            <w:gridSpan w:val="7"/>
          </w:tcPr>
          <w:p>
            <w:pPr>
              <w:pStyle w:val="Compact"/>
              <w:jc w:val="right"/>
            </w:pPr>
            <w:r>
              <w:t xml:space="preserve">Total Product + Packaging Weight:</w:t>
            </w:r>
          </w:p>
        </w:tc>
        <w:tc>
          <w:tcPr/>
          <w:p>
            <w:pPr>
              <w:pStyle w:val="Compact"/>
              <w:jc w:val="left"/>
            </w:pPr>
            <w:r>
              <w:t xml:space="preserve">1.15 kg</w:t>
            </w:r>
          </w:p>
        </w:tc>
      </w:tr>
    </w:tbl>
    <w:bookmarkEnd w:id="29"/>
    <w:bookmarkStart w:id="30" w:name="Xb874b862ade28d5264e50ccfc73b38430f41897"/>
    <w:p>
      <w:pPr>
        <w:pStyle w:val="Heading3"/>
      </w:pPr>
      <w:r>
        <w:t xml:space="preserve">Energy Inputs (Production Phase) - (Scope 2: Purchased Electricity)</w:t>
      </w:r>
    </w:p>
    <w:p>
      <w:pPr>
        <w:numPr>
          <w:ilvl w:val="0"/>
          <w:numId w:val="1004"/>
        </w:numPr>
        <w:pStyle w:val="Compact"/>
      </w:pPr>
      <w:r>
        <w:rPr>
          <w:bCs/>
          <w:b/>
        </w:rPr>
        <w:t xml:space="preserve">Energy Intensity (kWh/unit):</w:t>
      </w:r>
      <w:r>
        <w:t xml:space="preserve"> </w:t>
      </w:r>
      <w:r>
        <w:t xml:space="preserve">jsgzxqslqy (1.5 kWh/unit)</w:t>
      </w:r>
    </w:p>
    <w:p>
      <w:pPr>
        <w:numPr>
          <w:ilvl w:val="0"/>
          <w:numId w:val="1004"/>
        </w:numPr>
        <w:pStyle w:val="Compact"/>
      </w:pPr>
      <w:r>
        <w:rPr>
          <w:bCs/>
          <w:b/>
        </w:rPr>
        <w:t xml:space="preserve">Renewable Energy Usage:</w:t>
      </w:r>
      <w:r>
        <w:t xml:space="preserve"> </w:t>
      </w:r>
      <w:r>
        <w:t xml:space="preserve">oskkkpviim (20%)</w:t>
      </w:r>
    </w:p>
    <w:p>
      <w:pPr>
        <w:numPr>
          <w:ilvl w:val="0"/>
          <w:numId w:val="1004"/>
        </w:numPr>
        <w:pStyle w:val="Compact"/>
      </w:pPr>
      <w:r>
        <w:rPr>
          <w:bCs/>
          <w:b/>
        </w:rPr>
        <w:t xml:space="preserve">Final Production Country:</w:t>
      </w:r>
      <w:r>
        <w:t xml:space="preserve"> </w:t>
      </w:r>
      <w:r>
        <w:t xml:space="preserve">China</w:t>
      </w:r>
    </w:p>
    <w:p>
      <w:pPr>
        <w:pStyle w:val="FirstParagraph"/>
      </w:pPr>
      <w:r>
        <w:t xml:space="preserve">For the production phase in China, a representative electricity grid emission factor of 0.6 kgCO2e/kWh has been used for 2025/2026,</w:t>
      </w:r>
      <w:r>
        <w:t xml:space="preserve"> </w:t>
      </w:r>
      <w:r>
        <w:t xml:space="preserve">acknowledging regional variations and a trend of decreasing intensity.</w:t>
      </w:r>
      <w:r>
        <w:t xml:space="preserve"> </w:t>
      </w:r>
      <w:r>
        <w:t xml:space="preserve">With 20% renewable energy usage, the effective non-renewable energy consumption is reduced.</w:t>
      </w:r>
    </w:p>
    <w:bookmarkEnd w:id="30"/>
    <w:bookmarkStart w:id="31" w:name="Xf4f917942a3f663264b60090bcb95944b7db328"/>
    <w:p>
      <w:pPr>
        <w:pStyle w:val="Heading3"/>
      </w:pPr>
      <w:r>
        <w:t xml:space="preserve">Logistics Data (Scope 3, Categories 4 &amp; 9: Transportation &amp; Distribution)</w:t>
      </w:r>
    </w:p>
    <w:p>
      <w:pPr>
        <w:numPr>
          <w:ilvl w:val="0"/>
          <w:numId w:val="1005"/>
        </w:numPr>
        <w:pStyle w:val="Compact"/>
      </w:pPr>
      <w:r>
        <w:rPr>
          <w:bCs/>
          <w:b/>
        </w:rPr>
        <w:t xml:space="preserve">Transport Mode (Main):</w:t>
      </w:r>
      <w:r>
        <w:t xml:space="preserve"> </w:t>
      </w:r>
      <w:r>
        <w:t xml:space="preserve">Select Mode (Ocean Freight)</w:t>
      </w:r>
    </w:p>
    <w:p>
      <w:pPr>
        <w:numPr>
          <w:ilvl w:val="0"/>
          <w:numId w:val="1005"/>
        </w:numPr>
        <w:pStyle w:val="Compact"/>
      </w:pPr>
      <w:r>
        <w:rPr>
          <w:bCs/>
          <w:b/>
        </w:rPr>
        <w:t xml:space="preserve">Transport Distance (Main):</w:t>
      </w:r>
      <w:r>
        <w:t xml:space="preserve"> </w:t>
      </w:r>
      <w:r>
        <w:t xml:space="preserve">lpugqkvjdo (9,500 km assumed for intercontinental travel)</w:t>
      </w:r>
    </w:p>
    <w:p>
      <w:pPr>
        <w:numPr>
          <w:ilvl w:val="0"/>
          <w:numId w:val="1005"/>
        </w:numPr>
        <w:pStyle w:val="Compact"/>
      </w:pPr>
      <w:r>
        <w:rPr>
          <w:bCs/>
          <w:b/>
        </w:rPr>
        <w:t xml:space="preserve">Last-Mile Delivery Channel:</w:t>
      </w:r>
      <w:r>
        <w:t xml:space="preserve"> </w:t>
      </w:r>
      <w:r>
        <w:t xml:space="preserve">Delivery Type (Road Freight - Light Commercial Vehicle)</w:t>
      </w:r>
    </w:p>
    <w:p>
      <w:pPr>
        <w:numPr>
          <w:ilvl w:val="0"/>
          <w:numId w:val="1005"/>
        </w:numPr>
        <w:pStyle w:val="Compact"/>
      </w:pPr>
      <w:r>
        <w:rPr>
          <w:bCs/>
          <w:b/>
        </w:rPr>
        <w:t xml:space="preserve">Last-Mile Delivery Distance:</w:t>
      </w:r>
      <w:r>
        <w:t xml:space="preserve"> </w:t>
      </w:r>
      <w:r>
        <w:t xml:space="preserve">100 km (assumed for local distribution)</w:t>
      </w:r>
    </w:p>
    <w:p>
      <w:pPr>
        <w:pStyle w:val="FirstParagraph"/>
      </w:pPr>
      <w:r>
        <w:t xml:space="preserve">Emission factors applied: Ocean Freight at 0.016 kgCO2e/tkm and Road Freight (Light Commercial Vehicle) at 0.105 kgCO2e/tkm.</w:t>
      </w:r>
      <w:r>
        <w:t xml:space="preserve"> </w:t>
      </w:r>
      <w:r>
        <w:t xml:space="preserve">The total product weight of 1.15 kg (including packaging) is used for transport calculations.</w:t>
      </w:r>
    </w:p>
    <w:bookmarkEnd w:id="31"/>
    <w:bookmarkStart w:id="32" w:name="X9c47a088dc2010630d22d37d8f68ea322772e33"/>
    <w:p>
      <w:pPr>
        <w:pStyle w:val="Heading3"/>
      </w:pPr>
      <w:r>
        <w:t xml:space="preserve">Use Phase Data (Scope 3, Category 11: Use of Sold Products)</w:t>
      </w:r>
    </w:p>
    <w:p>
      <w:pPr>
        <w:numPr>
          <w:ilvl w:val="0"/>
          <w:numId w:val="1006"/>
        </w:numPr>
        <w:pStyle w:val="Compact"/>
      </w:pPr>
      <w:r>
        <w:rPr>
          <w:bCs/>
          <w:b/>
        </w:rPr>
        <w:t xml:space="preserve">Product Lifespan:</w:t>
      </w:r>
      <w:r>
        <w:t xml:space="preserve"> </w:t>
      </w:r>
      <w:r>
        <w:t xml:space="preserve">uxgrsnpepw (5 years)</w:t>
      </w:r>
    </w:p>
    <w:p>
      <w:pPr>
        <w:numPr>
          <w:ilvl w:val="0"/>
          <w:numId w:val="1006"/>
        </w:numPr>
        <w:pStyle w:val="Compact"/>
      </w:pPr>
      <w:r>
        <w:rPr>
          <w:bCs/>
          <w:b/>
        </w:rPr>
        <w:t xml:space="preserve">Energy Consumption in Use:</w:t>
      </w:r>
      <w:r>
        <w:t xml:space="preserve"> </w:t>
      </w:r>
      <w:r>
        <w:t xml:space="preserve">mrmzwvzpnr (10 kWh/year)</w:t>
      </w:r>
    </w:p>
    <w:p>
      <w:pPr>
        <w:pStyle w:val="FirstParagraph"/>
      </w:pPr>
      <w:r>
        <w:t xml:space="preserve">The energy consumption during the product\'s use phase is calculated over its lifespan.</w:t>
      </w:r>
      <w:r>
        <w:t xml:space="preserve"> </w:t>
      </w:r>
      <w:r>
        <w:t xml:space="preserve">A global average electricity grid emission factor of 0.45 kgCO2e/kWh is applied for the use phase.</w:t>
      </w:r>
    </w:p>
    <w:bookmarkEnd w:id="32"/>
    <w:bookmarkStart w:id="33" w:name="X22f9dae0edae5a4ebf0dcf5b8ca74de2c6ea5a4"/>
    <w:p>
      <w:pPr>
        <w:pStyle w:val="Heading3"/>
      </w:pPr>
      <w:r>
        <w:t xml:space="preserve">End-of-Life (EoL) Scenarios (Scope 3, Category 12: End-of-Life Treatment of Sold Products)</w:t>
      </w:r>
    </w:p>
    <w:p>
      <w:pPr>
        <w:numPr>
          <w:ilvl w:val="0"/>
          <w:numId w:val="1007"/>
        </w:numPr>
        <w:pStyle w:val="Compact"/>
      </w:pPr>
      <w:r>
        <w:rPr>
          <w:bCs/>
          <w:b/>
        </w:rPr>
        <w:t xml:space="preserve">Recyclability Percentage:</w:t>
      </w:r>
      <w:r>
        <w:t xml:space="preserve"> </w:t>
      </w:r>
      <w:r>
        <w:t xml:space="preserve">gnmvuygjtx (70%)</w:t>
      </w:r>
    </w:p>
    <w:p>
      <w:pPr>
        <w:numPr>
          <w:ilvl w:val="0"/>
          <w:numId w:val="1007"/>
        </w:numPr>
        <w:pStyle w:val="Compact"/>
      </w:pPr>
      <w:r>
        <w:rPr>
          <w:bCs/>
          <w:b/>
        </w:rPr>
        <w:t xml:space="preserve">Circular/Take-back Programs:</w:t>
      </w:r>
      <w:r>
        <w:t xml:space="preserve"> </w:t>
      </w:r>
      <w:r>
        <w:t xml:space="preserve">srwsivohur (Yes, regional collection points)</w:t>
      </w:r>
    </w:p>
    <w:p>
      <w:pPr>
        <w:pStyle w:val="FirstParagraph"/>
      </w:pPr>
      <w:r>
        <w:t xml:space="preserve">The remaining 30% of the product at end-of-life is assumed to be split between landfill (20%) and incineration (10%)</w:t>
      </w:r>
      <w:r>
        <w:t xml:space="preserve"> </w:t>
      </w:r>
      <w:r>
        <w:t xml:space="preserve">in the absence of specific regional waste management data. Industry-standard emission factors are applied:</w:t>
      </w:r>
      <w:r>
        <w:t xml:space="preserve"> </w:t>
      </w:r>
      <w:r>
        <w:t xml:space="preserve">Recycling (0.02 kg CO2e/kg), Landfill (1.2 kg CO2e/kg), and Incineration (0.7 kg CO2e/kg).</w:t>
      </w:r>
      <w:r>
        <w:t xml:space="preserve"> </w:t>
      </w:r>
      <w:r>
        <w:t xml:space="preserve">Circular/take-back programs are noted as a positive impact on resource efficiency.</w:t>
      </w:r>
    </w:p>
    <w:p>
      <w:r>
        <w:pict>
          <v:rect style="width:0;height:1.5pt" o:hralign="center" o:hrstd="t" o:hr="t"/>
        </w:pict>
      </w:r>
    </w:p>
    <w:bookmarkEnd w:id="33"/>
    <w:bookmarkEnd w:id="34"/>
    <w:bookmarkStart w:id="38" w:name="emission-calculation"/>
    <w:p>
      <w:pPr>
        <w:pStyle w:val="Heading2"/>
      </w:pPr>
      <w:r>
        <w:t xml:space="preserve">4. Emission Calculation</w:t>
      </w:r>
    </w:p>
    <w:p>
      <w:pPr>
        <w:pStyle w:val="FirstParagraph"/>
      </w:pPr>
      <w:r>
        <w:t xml:space="preserve">The following calculations quantify the GHG emissions for each stage of the product lifecycle, categorized by GHG Protocol scopes.</w:t>
      </w:r>
    </w:p>
    <w:bookmarkStart w:id="35" w:name="X910e695aff4ca611e5d51aaf5d01a4825b06e6e"/>
    <w:p>
      <w:pPr>
        <w:pStyle w:val="Heading3"/>
      </w:pPr>
      <w:r>
        <w:t xml:space="preserve">Total Product Carbon Footprint (PCF) for one unit of mnfqeksude: 31.89 kgCO2e</w:t>
      </w:r>
    </w:p>
    <w:bookmarkEnd w:id="35"/>
    <w:bookmarkStart w:id="36" w:name="breakdown-by-scope-and-lifecycle-stage"/>
    <w:p>
      <w:pPr>
        <w:pStyle w:val="Heading3"/>
      </w:pPr>
      <w:r>
        <w:t xml:space="preserve">Breakdown by Scope and Lifecycle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Lifecycle Stage</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Production (Direct Fuel Combustion)</w:t>
            </w:r>
          </w:p>
        </w:tc>
        <w:tc>
          <w:tcPr/>
          <w:p>
            <w:pPr>
              <w:pStyle w:val="Compact"/>
              <w:jc w:val="left"/>
            </w:pPr>
            <w:r>
              <w:t xml:space="preserve">0.00</w:t>
            </w:r>
            <w:r>
              <w:t xml:space="preserve"> </w:t>
            </w:r>
            <w:r>
              <w:rPr>
                <w:vertAlign w:val="superscript"/>
              </w:rPr>
              <w:t xml:space="preserve">(1)</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Production (Electricity Consumption)</w:t>
            </w:r>
          </w:p>
        </w:tc>
        <w:tc>
          <w:tcPr/>
          <w:p>
            <w:pPr>
              <w:pStyle w:val="Compact"/>
              <w:jc w:val="left"/>
            </w:pPr>
            <w:r>
              <w:t xml:space="preserve">0.72</w:t>
            </w:r>
          </w:p>
        </w:tc>
      </w:tr>
      <w:tr>
        <w:tc>
          <w:tcPr/>
          <w:p>
            <w:pPr>
              <w:pStyle w:val="Compact"/>
              <w:jc w:val="left"/>
            </w:pPr>
            <w:r>
              <w:t xml:space="preserve">Scope 3</w:t>
            </w:r>
          </w:p>
        </w:tc>
        <w:tc>
          <w:tcPr/>
          <w:p>
            <w:pPr>
              <w:pStyle w:val="Compact"/>
              <w:jc w:val="left"/>
            </w:pPr>
            <w:r>
              <w:t xml:space="preserve">Category 1: Purchased Goods &amp; Services</w:t>
            </w:r>
          </w:p>
        </w:tc>
        <w:tc>
          <w:tcPr/>
          <w:p>
            <w:pPr>
              <w:pStyle w:val="Compact"/>
              <w:jc w:val="left"/>
            </w:pPr>
            <w:r>
              <w:t xml:space="preserve">Material Acquisition &amp; Production</w:t>
            </w:r>
          </w:p>
        </w:tc>
        <w:tc>
          <w:tcPr/>
          <w:p>
            <w:pPr>
              <w:pStyle w:val="Compact"/>
              <w:jc w:val="left"/>
            </w:pPr>
            <w:r>
              <w:t xml:space="preserve">7.94</w:t>
            </w:r>
          </w:p>
        </w:tc>
      </w:tr>
      <w:tr>
        <w:tc>
          <w:tcPr/>
          <w:p>
            <w:pPr>
              <w:pStyle w:val="Compact"/>
              <w:jc w:val="left"/>
            </w:pPr>
            <w:r>
              <w:t xml:space="preserve">Scope 3</w:t>
            </w:r>
          </w:p>
        </w:tc>
        <w:tc>
          <w:tcPr/>
          <w:p>
            <w:pPr>
              <w:pStyle w:val="Compact"/>
              <w:jc w:val="left"/>
            </w:pPr>
            <w:r>
              <w:t xml:space="preserve">Category 4: Upstream Transportation &amp; Distribution</w:t>
            </w:r>
          </w:p>
        </w:tc>
        <w:tc>
          <w:tcPr/>
          <w:p>
            <w:pPr>
              <w:pStyle w:val="Compact"/>
              <w:jc w:val="left"/>
            </w:pPr>
            <w:r>
              <w:t xml:space="preserve">Inbound Logistics (Europe to China)</w:t>
            </w:r>
          </w:p>
        </w:tc>
        <w:tc>
          <w:tcPr/>
          <w:p>
            <w:pPr>
              <w:pStyle w:val="Compact"/>
              <w:jc w:val="left"/>
            </w:pPr>
            <w:r>
              <w:t xml:space="preserve">0.17</w:t>
            </w:r>
          </w:p>
        </w:tc>
      </w:tr>
      <w:tr>
        <w:tc>
          <w:tcPr/>
          <w:p>
            <w:pPr>
              <w:pStyle w:val="Compact"/>
              <w:jc w:val="left"/>
            </w:pPr>
            <w:r>
              <w:t xml:space="preserve">Scope 3</w:t>
            </w:r>
          </w:p>
        </w:tc>
        <w:tc>
          <w:tcPr/>
          <w:p>
            <w:pPr>
              <w:pStyle w:val="Compact"/>
              <w:jc w:val="left"/>
            </w:pPr>
            <w:r>
              <w:t xml:space="preserve">Category 9: Downstream Transportation &amp; Distribution</w:t>
            </w:r>
          </w:p>
        </w:tc>
        <w:tc>
          <w:tcPr/>
          <w:p>
            <w:pPr>
              <w:pStyle w:val="Compact"/>
              <w:jc w:val="left"/>
            </w:pPr>
            <w:r>
              <w:t xml:space="preserve">Outbound Logistics (China to Customer Hub &amp; Last-Mile)</w:t>
            </w:r>
          </w:p>
        </w:tc>
        <w:tc>
          <w:tcPr/>
          <w:p>
            <w:pPr>
              <w:pStyle w:val="Compact"/>
              <w:jc w:val="left"/>
            </w:pPr>
            <w:r>
              <w:t xml:space="preserve">0.19</w:t>
            </w:r>
          </w:p>
        </w:tc>
      </w:tr>
      <w:tr>
        <w:tc>
          <w:tcPr/>
          <w:p>
            <w:pPr>
              <w:pStyle w:val="Compact"/>
              <w:jc w:val="left"/>
            </w:pPr>
            <w:r>
              <w:t xml:space="preserve">Scope 3</w:t>
            </w:r>
          </w:p>
        </w:tc>
        <w:tc>
          <w:tcPr/>
          <w:p>
            <w:pPr>
              <w:pStyle w:val="Compact"/>
              <w:jc w:val="left"/>
            </w:pPr>
            <w:r>
              <w:t xml:space="preserve">Category 11: Use of Sold Products</w:t>
            </w:r>
          </w:p>
        </w:tc>
        <w:tc>
          <w:tcPr/>
          <w:p>
            <w:pPr>
              <w:pStyle w:val="Compact"/>
              <w:jc w:val="left"/>
            </w:pPr>
            <w:r>
              <w:t xml:space="preserve">Product Use Phase (Energy Consumption)</w:t>
            </w:r>
          </w:p>
        </w:tc>
        <w:tc>
          <w:tcPr/>
          <w:p>
            <w:pPr>
              <w:pStyle w:val="Compact"/>
              <w:jc w:val="left"/>
            </w:pPr>
            <w:r>
              <w:t xml:space="preserve">22.50</w:t>
            </w:r>
          </w:p>
        </w:tc>
      </w:tr>
      <w:tr>
        <w:tc>
          <w:tcPr/>
          <w:p>
            <w:pPr>
              <w:pStyle w:val="Compact"/>
              <w:jc w:val="left"/>
            </w:pPr>
            <w:r>
              <w:t xml:space="preserve">Scope 3</w:t>
            </w:r>
          </w:p>
        </w:tc>
        <w:tc>
          <w:tcPr/>
          <w:p>
            <w:pPr>
              <w:pStyle w:val="Compact"/>
              <w:jc w:val="left"/>
            </w:pPr>
            <w:r>
              <w:t xml:space="preserve">Category 12: End-of-Life Treatment of Sold Products</w:t>
            </w:r>
          </w:p>
        </w:tc>
        <w:tc>
          <w:tcPr/>
          <w:p>
            <w:pPr>
              <w:pStyle w:val="Compact"/>
              <w:jc w:val="left"/>
            </w:pPr>
            <w:r>
              <w:t xml:space="preserve">Disposal &amp; Recycling</w:t>
            </w:r>
          </w:p>
        </w:tc>
        <w:tc>
          <w:tcPr/>
          <w:p>
            <w:pPr>
              <w:pStyle w:val="Compact"/>
              <w:jc w:val="left"/>
            </w:pPr>
            <w:r>
              <w:t xml:space="preserve">0.37</w:t>
            </w:r>
          </w:p>
        </w:tc>
      </w:tr>
      <w:tr>
        <w:tc>
          <w:tcPr>
            <w:gridSpan w:val="3"/>
          </w:tcPr>
          <w:p>
            <w:pPr>
              <w:pStyle w:val="Compact"/>
              <w:jc w:val="right"/>
            </w:pPr>
            <w:r>
              <w:t xml:space="preserve">Total Product Carbon Footprint:</w:t>
            </w:r>
          </w:p>
        </w:tc>
        <w:tc>
          <w:tcPr/>
          <w:p>
            <w:pPr>
              <w:pStyle w:val="Compact"/>
              <w:jc w:val="left"/>
            </w:pPr>
            <w:r>
              <w:t xml:space="preserve">31.89 kgCO2e</w:t>
            </w:r>
          </w:p>
        </w:tc>
      </w:tr>
      <w:tr>
        <w:tc>
          <w:tcPr>
            <w:gridSpan w:val="3"/>
          </w:tcPr>
          <w:p>
            <w:pPr>
              <w:pStyle w:val="Compact"/>
              <w:jc w:val="right"/>
            </w:pPr>
            <w:r>
              <w:t xml:space="preserve">Total Scope 3 Emissions:</w:t>
            </w:r>
          </w:p>
        </w:tc>
        <w:tc>
          <w:tcPr/>
          <w:p>
            <w:pPr>
              <w:pStyle w:val="Compact"/>
              <w:jc w:val="left"/>
            </w:pPr>
            <w:r>
              <w:t xml:space="preserve">31.17 kgCO2e</w:t>
            </w:r>
          </w:p>
        </w:tc>
      </w:tr>
      <w:tr>
        <w:tc>
          <w:tcPr>
            <w:gridSpan w:val="3"/>
          </w:tcPr>
          <w:p>
            <w:pPr>
              <w:pStyle w:val="Compact"/>
              <w:jc w:val="right"/>
            </w:pPr>
            <w:r>
              <w:t xml:space="preserve">Scope 3 Coverage:</w:t>
            </w:r>
          </w:p>
        </w:tc>
        <w:tc>
          <w:tcPr/>
          <w:p>
            <w:pPr>
              <w:pStyle w:val="Compact"/>
              <w:jc w:val="left"/>
            </w:pPr>
            <w:r>
              <w:t xml:space="preserve">97.74%</w:t>
            </w:r>
          </w:p>
        </w:tc>
      </w:tr>
    </w:tbl>
    <w:p>
      <w:pPr>
        <w:pStyle w:val="BodyText"/>
      </w:pPr>
      <w:r>
        <w:rPr>
          <w:vertAlign w:val="superscript"/>
        </w:rPr>
        <w:t xml:space="preserve">(1)</w:t>
      </w:r>
      <w:r>
        <w:t xml:space="preserve"> </w:t>
      </w:r>
      <w:r>
        <w:t xml:space="preserve">Scope 1 emissions assumed negligible as direct fuel combustion data was not provided for the manufacturing process. Emissions associated with purchased electricity for manufacturing are captured in Scope 2.</w:t>
      </w:r>
    </w:p>
    <w:bookmarkEnd w:id="36"/>
    <w:bookmarkStart w:id="37" w:name="detailed-calculations"/>
    <w:p>
      <w:pPr>
        <w:pStyle w:val="Heading3"/>
      </w:pPr>
      <w:r>
        <w:t xml:space="preserve">Detailed Calculations:</w:t>
      </w:r>
    </w:p>
    <w:p>
      <w:pPr>
        <w:numPr>
          <w:ilvl w:val="0"/>
          <w:numId w:val="1008"/>
        </w:numPr>
        <w:pStyle w:val="Compact"/>
      </w:pPr>
      <w:r>
        <w:rPr>
          <w:bCs/>
          <w:b/>
        </w:rPr>
        <w:t xml:space="preserve">Material Emissions (Scope 3, Category 1):</w:t>
      </w:r>
    </w:p>
    <w:p>
      <w:pPr>
        <w:numPr>
          <w:ilvl w:val="1"/>
          <w:numId w:val="1009"/>
        </w:numPr>
        <w:pStyle w:val="Compact"/>
      </w:pPr>
      <w:r>
        <w:t xml:space="preserve">Aluminum Casing: 0.5 kg * 12.0 kgCO2e/kg = 6.00 kgCO2e</w:t>
      </w:r>
    </w:p>
    <w:p>
      <w:pPr>
        <w:numPr>
          <w:ilvl w:val="1"/>
          <w:numId w:val="1009"/>
        </w:numPr>
        <w:pStyle w:val="Compact"/>
      </w:pPr>
      <w:r>
        <w:t xml:space="preserve">PC Plastic Housing: 0.3 kg * 3.5 kgCO2e/kg = 1.05 kgCO2e</w:t>
      </w:r>
    </w:p>
    <w:p>
      <w:pPr>
        <w:numPr>
          <w:ilvl w:val="1"/>
          <w:numId w:val="1009"/>
        </w:numPr>
        <w:pStyle w:val="Compact"/>
      </w:pPr>
      <w:r>
        <w:t xml:space="preserve">Electronic Components: 0.1 kg * 5.0 kgCO2e/kg = 0.50 kgCO2e</w:t>
      </w:r>
    </w:p>
    <w:p>
      <w:pPr>
        <w:numPr>
          <w:ilvl w:val="1"/>
          <w:numId w:val="1009"/>
        </w:numPr>
        <w:pStyle w:val="Compact"/>
      </w:pPr>
      <w:r>
        <w:t xml:space="preserve">Copper Wiring: 0.05 kg * 4.0 kgCO2e/kg = 0.20 kgCO2e</w:t>
      </w:r>
    </w:p>
    <w:p>
      <w:pPr>
        <w:numPr>
          <w:ilvl w:val="1"/>
          <w:numId w:val="1009"/>
        </w:numPr>
        <w:pStyle w:val="Compact"/>
      </w:pPr>
      <w:r>
        <w:t xml:space="preserve">Packaging Cardboard: 0.2 kg * 0.94 kgCO2e/kg = 0.19 kgCO2e</w:t>
      </w:r>
    </w:p>
    <w:p>
      <w:pPr>
        <w:numPr>
          <w:ilvl w:val="1"/>
          <w:numId w:val="1009"/>
        </w:numPr>
        <w:pStyle w:val="Compact"/>
      </w:pPr>
      <w:r>
        <w:rPr>
          <w:bCs/>
          <w:b/>
        </w:rPr>
        <w:t xml:space="preserve">Subtotal: 7.94 kgCO2e</w:t>
      </w:r>
    </w:p>
    <w:p>
      <w:pPr>
        <w:numPr>
          <w:ilvl w:val="0"/>
          <w:numId w:val="1008"/>
        </w:numPr>
        <w:pStyle w:val="Compact"/>
      </w:pPr>
      <w:r>
        <w:rPr>
          <w:bCs/>
          <w:b/>
        </w:rPr>
        <w:t xml:space="preserve">Production Energy Emissions (Scope 2):</w:t>
      </w:r>
    </w:p>
    <w:p>
      <w:pPr>
        <w:numPr>
          <w:ilvl w:val="1"/>
          <w:numId w:val="1010"/>
        </w:numPr>
        <w:pStyle w:val="Compact"/>
      </w:pPr>
      <w:r>
        <w:t xml:space="preserve">Total Energy Intensity: 1.5 kWh/unit</w:t>
      </w:r>
    </w:p>
    <w:p>
      <w:pPr>
        <w:numPr>
          <w:ilvl w:val="1"/>
          <w:numId w:val="1010"/>
        </w:numPr>
        <w:pStyle w:val="Compact"/>
      </w:pPr>
      <w:r>
        <w:t xml:space="preserve">Non-renewable energy share: 100% - 20% (renewable) = 80%</w:t>
      </w:r>
    </w:p>
    <w:p>
      <w:pPr>
        <w:numPr>
          <w:ilvl w:val="1"/>
          <w:numId w:val="1010"/>
        </w:numPr>
        <w:pStyle w:val="Compact"/>
      </w:pPr>
      <w:r>
        <w:t xml:space="preserve">Effective non-renewable energy: 1.5 kWh/unit * 0.80 = 1.2 kWh/unit</w:t>
      </w:r>
    </w:p>
    <w:p>
      <w:pPr>
        <w:numPr>
          <w:ilvl w:val="1"/>
          <w:numId w:val="1010"/>
        </w:numPr>
        <w:pStyle w:val="Compact"/>
      </w:pPr>
      <w:r>
        <w:t xml:space="preserve">China Grid EF: 0.6 kgCO2e/kWh (assumed average for 2025/2026, varies by region/time)</w:t>
      </w:r>
    </w:p>
    <w:p>
      <w:pPr>
        <w:numPr>
          <w:ilvl w:val="1"/>
          <w:numId w:val="1010"/>
        </w:numPr>
        <w:pStyle w:val="Compact"/>
      </w:pPr>
      <w:r>
        <w:rPr>
          <w:bCs/>
          <w:b/>
        </w:rPr>
        <w:t xml:space="preserve">Subtotal: 1.2 kWh/unit * 0.6 kgCO2e/kWh = 0.72 kgCO2e</w:t>
      </w:r>
    </w:p>
    <w:p>
      <w:pPr>
        <w:numPr>
          <w:ilvl w:val="0"/>
          <w:numId w:val="1008"/>
        </w:numPr>
        <w:pStyle w:val="Compact"/>
      </w:pPr>
      <w:r>
        <w:rPr>
          <w:bCs/>
          <w:b/>
        </w:rPr>
        <w:t xml:space="preserve">Transport Emissions (Scope 3, Categories 4 &amp; 9):</w:t>
      </w:r>
    </w:p>
    <w:p>
      <w:pPr>
        <w:numPr>
          <w:ilvl w:val="1"/>
          <w:numId w:val="1011"/>
        </w:numPr>
        <w:pStyle w:val="Compact"/>
      </w:pPr>
      <w:r>
        <w:t xml:space="preserve">Total Product Weight for Transport: 1.15 kg = 0.00115 tonnes</w:t>
      </w:r>
    </w:p>
    <w:p>
      <w:pPr>
        <w:numPr>
          <w:ilvl w:val="1"/>
          <w:numId w:val="1011"/>
        </w:numPr>
        <w:pStyle w:val="Compact"/>
      </w:pPr>
      <w:r>
        <w:t xml:space="preserve">Inbound (Raw Materials):</w:t>
      </w:r>
    </w:p>
    <w:p>
      <w:pPr>
        <w:numPr>
          <w:ilvl w:val="2"/>
          <w:numId w:val="1012"/>
        </w:numPr>
        <w:pStyle w:val="Compact"/>
      </w:pPr>
      <w:r>
        <w:t xml:space="preserve">Distance: 9,500 km (Ocean Freight)</w:t>
      </w:r>
    </w:p>
    <w:p>
      <w:pPr>
        <w:numPr>
          <w:ilvl w:val="2"/>
          <w:numId w:val="1012"/>
        </w:numPr>
        <w:pStyle w:val="Compact"/>
      </w:pPr>
      <w:r>
        <w:t xml:space="preserve">Ocean Freight EF: 0.016 kgCO2e/tkm</w:t>
      </w:r>
    </w:p>
    <w:p>
      <w:pPr>
        <w:numPr>
          <w:ilvl w:val="2"/>
          <w:numId w:val="1012"/>
        </w:numPr>
        <w:pStyle w:val="Compact"/>
      </w:pPr>
      <w:r>
        <w:t xml:space="preserve">Emissions: 0.00115 t * 9,500 km * 0.016 kgCO2e/tkm = 0.17 kgCO2e</w:t>
      </w:r>
    </w:p>
    <w:p>
      <w:pPr>
        <w:numPr>
          <w:ilvl w:val="1"/>
          <w:numId w:val="1011"/>
        </w:numPr>
        <w:pStyle w:val="Compact"/>
      </w:pPr>
      <w:r>
        <w:t xml:space="preserve">Outbound (Finished Product - Main):</w:t>
      </w:r>
    </w:p>
    <w:p>
      <w:pPr>
        <w:numPr>
          <w:ilvl w:val="2"/>
          <w:numId w:val="1013"/>
        </w:numPr>
        <w:pStyle w:val="Compact"/>
      </w:pPr>
      <w:r>
        <w:t xml:space="preserve">Distance: 9,500 km (Ocean Freight)</w:t>
      </w:r>
    </w:p>
    <w:p>
      <w:pPr>
        <w:numPr>
          <w:ilvl w:val="2"/>
          <w:numId w:val="1013"/>
        </w:numPr>
        <w:pStyle w:val="Compact"/>
      </w:pPr>
      <w:r>
        <w:t xml:space="preserve">Ocean Freight EF: 0.016 kgCO2e/tkm</w:t>
      </w:r>
    </w:p>
    <w:p>
      <w:pPr>
        <w:numPr>
          <w:ilvl w:val="2"/>
          <w:numId w:val="1013"/>
        </w:numPr>
        <w:pStyle w:val="Compact"/>
      </w:pPr>
      <w:r>
        <w:t xml:space="preserve">Emissions: 0.00115 t * 9,500 km * 0.016 kgCO2e/tkm = 0.17 kgCO2e</w:t>
      </w:r>
    </w:p>
    <w:p>
      <w:pPr>
        <w:numPr>
          <w:ilvl w:val="1"/>
          <w:numId w:val="1011"/>
        </w:numPr>
        <w:pStyle w:val="Compact"/>
      </w:pPr>
      <w:r>
        <w:t xml:space="preserve">Last-Mile Delivery (Outbound - Final Leg):</w:t>
      </w:r>
    </w:p>
    <w:p>
      <w:pPr>
        <w:numPr>
          <w:ilvl w:val="2"/>
          <w:numId w:val="1014"/>
        </w:numPr>
        <w:pStyle w:val="Compact"/>
      </w:pPr>
      <w:r>
        <w:t xml:space="preserve">Distance: 100 km (Road Freight - Light Commercial Vehicle)</w:t>
      </w:r>
    </w:p>
    <w:p>
      <w:pPr>
        <w:numPr>
          <w:ilvl w:val="2"/>
          <w:numId w:val="1014"/>
        </w:numPr>
        <w:pStyle w:val="Compact"/>
      </w:pPr>
      <w:r>
        <w:t xml:space="preserve">Road Freight EF: 0.105 kgCO2e/tkm (from 0.21kgCO2e per 2kg package per 1000km)</w:t>
      </w:r>
    </w:p>
    <w:p>
      <w:pPr>
        <w:numPr>
          <w:ilvl w:val="2"/>
          <w:numId w:val="1014"/>
        </w:numPr>
        <w:pStyle w:val="Compact"/>
      </w:pPr>
      <w:r>
        <w:t xml:space="preserve">Emissions: 0.00115 t * 100 km * 0.105 kgCO2e/tkm = 0.01 kgCO2e</w:t>
      </w:r>
    </w:p>
    <w:p>
      <w:pPr>
        <w:numPr>
          <w:ilvl w:val="1"/>
          <w:numId w:val="1011"/>
        </w:numPr>
        <w:pStyle w:val="Compact"/>
      </w:pPr>
      <w:r>
        <w:rPr>
          <w:bCs/>
          <w:b/>
        </w:rPr>
        <w:t xml:space="preserve">Subtotal: 0.17 + 0.17 + 0.01 = 0.36 kgCO2e</w:t>
      </w:r>
    </w:p>
    <w:p>
      <w:pPr>
        <w:numPr>
          <w:ilvl w:val="0"/>
          <w:numId w:val="1008"/>
        </w:numPr>
        <w:pStyle w:val="Compact"/>
      </w:pPr>
      <w:r>
        <w:rPr>
          <w:bCs/>
          <w:b/>
        </w:rPr>
        <w:t xml:space="preserve">Use Phase Emissions (Scope 3, Category 11):</w:t>
      </w:r>
    </w:p>
    <w:p>
      <w:pPr>
        <w:numPr>
          <w:ilvl w:val="1"/>
          <w:numId w:val="1015"/>
        </w:numPr>
        <w:pStyle w:val="Compact"/>
      </w:pPr>
      <w:r>
        <w:t xml:space="preserve">Product Lifespan: 5 years</w:t>
      </w:r>
    </w:p>
    <w:p>
      <w:pPr>
        <w:numPr>
          <w:ilvl w:val="1"/>
          <w:numId w:val="1015"/>
        </w:numPr>
        <w:pStyle w:val="Compact"/>
      </w:pPr>
      <w:r>
        <w:t xml:space="preserve">Energy Consumption: 10 kWh/year</w:t>
      </w:r>
    </w:p>
    <w:p>
      <w:pPr>
        <w:numPr>
          <w:ilvl w:val="1"/>
          <w:numId w:val="1015"/>
        </w:numPr>
        <w:pStyle w:val="Compact"/>
      </w:pPr>
      <w:r>
        <w:t xml:space="preserve">Global Average Grid EF (for use phase): 0.45 kgCO2e/kWh (assumed for product use)</w:t>
      </w:r>
    </w:p>
    <w:p>
      <w:pPr>
        <w:numPr>
          <w:ilvl w:val="1"/>
          <w:numId w:val="1015"/>
        </w:numPr>
        <w:pStyle w:val="Compact"/>
      </w:pPr>
      <w:r>
        <w:rPr>
          <w:bCs/>
          <w:b/>
        </w:rPr>
        <w:t xml:space="preserve">Subtotal: 5 years * 10 kWh/year * 0.45 kgCO2e/kWh = 22.50 kgCO2e</w:t>
      </w:r>
    </w:p>
    <w:p>
      <w:pPr>
        <w:numPr>
          <w:ilvl w:val="0"/>
          <w:numId w:val="1008"/>
        </w:numPr>
        <w:pStyle w:val="Compact"/>
      </w:pPr>
      <w:r>
        <w:rPr>
          <w:bCs/>
          <w:b/>
        </w:rPr>
        <w:t xml:space="preserve">End-of-Life Emissions (Scope 3, Category 12):</w:t>
      </w:r>
    </w:p>
    <w:p>
      <w:pPr>
        <w:numPr>
          <w:ilvl w:val="1"/>
          <w:numId w:val="1016"/>
        </w:numPr>
        <w:pStyle w:val="Compact"/>
      </w:pPr>
      <w:r>
        <w:t xml:space="preserve">Total Product + Packaging Weight: 1.15 kg</w:t>
      </w:r>
    </w:p>
    <w:p>
      <w:pPr>
        <w:numPr>
          <w:ilvl w:val="1"/>
          <w:numId w:val="1016"/>
        </w:numPr>
        <w:pStyle w:val="Compact"/>
      </w:pPr>
      <w:r>
        <w:t xml:space="preserve">Recycling (70%): 1.15 kg * 0.70 * 0.02 kgCO2e/kg = 0.02 kgCO2e</w:t>
      </w:r>
      <w:r>
        <w:t xml:space="preserve"> </w:t>
      </w:r>
    </w:p>
    <w:p>
      <w:pPr>
        <w:numPr>
          <w:ilvl w:val="1"/>
          <w:numId w:val="1016"/>
        </w:numPr>
        <w:pStyle w:val="Compact"/>
      </w:pPr>
      <w:r>
        <w:t xml:space="preserve">Landfill (20%): 1.15 kg * 0.20 * 1.2 kgCO2e/kg = 0.28 kgCO2e</w:t>
      </w:r>
      <w:r>
        <w:t xml:space="preserve"> </w:t>
      </w:r>
    </w:p>
    <w:p>
      <w:pPr>
        <w:numPr>
          <w:ilvl w:val="1"/>
          <w:numId w:val="1016"/>
        </w:numPr>
        <w:pStyle w:val="Compact"/>
      </w:pPr>
      <w:r>
        <w:t xml:space="preserve">Incineration (10%): 1.15 kg * 0.10 * 0.7 kgCO2e/kg = 0.08 kgCO2e</w:t>
      </w:r>
      <w:r>
        <w:t xml:space="preserve"> </w:t>
      </w:r>
    </w:p>
    <w:p>
      <w:pPr>
        <w:numPr>
          <w:ilvl w:val="1"/>
          <w:numId w:val="1016"/>
        </w:numPr>
        <w:pStyle w:val="Compact"/>
      </w:pPr>
      <w:r>
        <w:rPr>
          <w:bCs/>
          <w:b/>
        </w:rPr>
        <w:t xml:space="preserve">Subtotal: 0.02 + 0.28 + 0.08 = 0.38 kgCO2e</w:t>
      </w:r>
    </w:p>
    <w:p>
      <w:r>
        <w:pict>
          <v:rect style="width:0;height:1.5pt" o:hralign="center" o:hrstd="t" o:hr="t"/>
        </w:pict>
      </w:r>
    </w:p>
    <w:bookmarkEnd w:id="37"/>
    <w:bookmarkEnd w:id="38"/>
    <w:bookmarkStart w:id="42" w:name="review-report"/>
    <w:p>
      <w:pPr>
        <w:pStyle w:val="Heading2"/>
      </w:pPr>
      <w:r>
        <w:t xml:space="preserve">5. Review &amp; Report</w:t>
      </w:r>
    </w:p>
    <w:bookmarkStart w:id="39" w:name="hotspots"/>
    <w:p>
      <w:pPr>
        <w:pStyle w:val="Heading3"/>
      </w:pPr>
      <w:r>
        <w:t xml:space="preserve">Hotspots</w:t>
      </w:r>
    </w:p>
    <w:p>
      <w:pPr>
        <w:pStyle w:val="FirstParagraph"/>
      </w:pPr>
      <w:r>
        <w:t xml:space="preserve">The analysis identifies the following key emission hotspots for mnfqeksude:</w:t>
      </w:r>
    </w:p>
    <w:p>
      <w:pPr>
        <w:numPr>
          <w:ilvl w:val="0"/>
          <w:numId w:val="1017"/>
        </w:numPr>
        <w:pStyle w:val="Compact"/>
      </w:pPr>
      <w:r>
        <w:rPr>
          <w:bCs/>
          <w:b/>
        </w:rPr>
        <w:t xml:space="preserve">Use Phase (Approx. 70.5% of total PCF):</w:t>
      </w:r>
      <w:r>
        <w:t xml:space="preserve"> </w:t>
      </w:r>
      <w:r>
        <w:t xml:space="preserve">The energy consumption during the 5-year product lifespan is the most significant contributor to the overall carbon footprint. This highlights the importance of energy efficiency during product operation.</w:t>
      </w:r>
    </w:p>
    <w:p>
      <w:pPr>
        <w:numPr>
          <w:ilvl w:val="0"/>
          <w:numId w:val="1017"/>
        </w:numPr>
        <w:pStyle w:val="Compact"/>
      </w:pPr>
      <w:r>
        <w:rPr>
          <w:bCs/>
          <w:b/>
        </w:rPr>
        <w:t xml:space="preserve">Material Acquisition &amp; Production (Approx. 24.9% of total PCF):</w:t>
      </w:r>
      <w:r>
        <w:t xml:space="preserve"> </w:t>
      </w:r>
      <w:r>
        <w:t xml:space="preserve">The raw materials, particularly the Aluminum Casing, contribute substantially to the upstream emissions, emphasizing the need for sustainable material sourcing and design.</w:t>
      </w:r>
    </w:p>
    <w:p>
      <w:pPr>
        <w:numPr>
          <w:ilvl w:val="0"/>
          <w:numId w:val="1017"/>
        </w:numPr>
        <w:pStyle w:val="Compact"/>
      </w:pPr>
      <w:r>
        <w:rPr>
          <w:bCs/>
          <w:b/>
        </w:rPr>
        <w:t xml:space="preserve">Production Energy (Approx. 2.3% of total PCF):</w:t>
      </w:r>
      <w:r>
        <w:t xml:space="preserve"> </w:t>
      </w:r>
      <w:r>
        <w:t xml:space="preserve">While smaller than the use phase, the electricity consumed during manufacturing in China represents an area for continued decarbonization efforts.</w:t>
      </w:r>
    </w:p>
    <w:bookmarkEnd w:id="39"/>
    <w:bookmarkStart w:id="40" w:name="reliability"/>
    <w:p>
      <w:pPr>
        <w:pStyle w:val="Heading3"/>
      </w:pPr>
      <w:r>
        <w:t xml:space="preserve">Reliability</w:t>
      </w:r>
    </w:p>
    <w:p>
      <w:pPr>
        <w:pStyle w:val="FirstParagraph"/>
      </w:pPr>
      <w:r>
        <w:t xml:space="preserve">This report is based on a combination of provided primary data (Detailed BOM, Energy Intensity, Lifespan, Consumption, Recyclability)</w:t>
      </w:r>
      <w:r>
        <w:t xml:space="preserve"> </w:t>
      </w:r>
      <w:r>
        <w:t xml:space="preserve">and secondary, industry-standard emission factors (e.g., for electricity grids, transportation, and end-of-life processes).</w:t>
      </w:r>
      <w:r>
        <w:t xml:space="preserve"> </w:t>
      </w:r>
      <w:r>
        <w:t xml:space="preserve">Assumptions have been clearly stated where specific data was unavailable (e.g., detailed raw material origins, transport split, EoL breakdown).</w:t>
      </w:r>
      <w:r>
        <w:t xml:space="preserve"> </w:t>
      </w:r>
      <w:r>
        <w:t xml:space="preserve">The accuracy of the report is highly dependent on the precision of the input parameters and the representativeness of the generic emission factors used.</w:t>
      </w:r>
      <w:r>
        <w:t xml:space="preserve"> </w:t>
      </w:r>
      <w:r>
        <w:t xml:space="preserve">The 95% Scope 3 coverage ensures a comprehensive assessment of value chain emissions.</w:t>
      </w:r>
    </w:p>
    <w:bookmarkEnd w:id="40"/>
    <w:bookmarkStart w:id="41" w:name="X788fbff7c021e2a678ac07c45b3966641b0fc80"/>
    <w:p>
      <w:pPr>
        <w:pStyle w:val="Heading3"/>
      </w:pPr>
      <w:r>
        <w:t xml:space="preserve">Recommendations for Carbon Footprint Reduction</w:t>
      </w:r>
    </w:p>
    <w:p>
      <w:pPr>
        <w:numPr>
          <w:ilvl w:val="0"/>
          <w:numId w:val="1018"/>
        </w:numPr>
        <w:pStyle w:val="Compact"/>
      </w:pPr>
      <w:r>
        <w:rPr>
          <w:bCs/>
          <w:b/>
        </w:rPr>
        <w:t xml:space="preserve">Optimize Use Phase Energy Efficiency:</w:t>
      </w:r>
      <w:r>
        <w:t xml:space="preserve"> </w:t>
      </w:r>
      <w:r>
        <w:t xml:space="preserve">Focus on designing mnfqeksude for lower energy consumption during its operational lifespan. Explore smart energy management features or offer external solutions for renewable energy integration for end-users.</w:t>
      </w:r>
    </w:p>
    <w:p>
      <w:pPr>
        <w:numPr>
          <w:ilvl w:val="0"/>
          <w:numId w:val="1018"/>
        </w:numPr>
        <w:pStyle w:val="Compact"/>
      </w:pPr>
      <w:r>
        <w:rPr>
          <w:bCs/>
          <w:b/>
        </w:rPr>
        <w:t xml:space="preserve">Sustainable Material Sourcing:</w:t>
      </w:r>
      <w:r>
        <w:t xml:space="preserve"> </w:t>
      </w:r>
      <w:r>
        <w:t xml:space="preserve">Investigate opportunities for using lower-carbon alternatives for significant material contributors, particularly the Aluminum Casing. This could include higher recycled content aluminum or alternative lightweight materials.</w:t>
      </w:r>
    </w:p>
    <w:p>
      <w:pPr>
        <w:numPr>
          <w:ilvl w:val="0"/>
          <w:numId w:val="1018"/>
        </w:numPr>
        <w:pStyle w:val="Compact"/>
      </w:pPr>
      <w:r>
        <w:rPr>
          <w:bCs/>
          <w:b/>
        </w:rPr>
        <w:t xml:space="preserve">Decarbonize Production Energy:</w:t>
      </w:r>
      <w:r>
        <w:t xml:space="preserve"> </w:t>
      </w:r>
      <w:r>
        <w:t xml:space="preserve">Continue to increase the share of renewable energy used in the manufacturing facilities in China beyond the current 20%. Explore purchasing high-quality renewable energy certificates (RECs) or direct power purchase agreements (PPAs).</w:t>
      </w:r>
    </w:p>
    <w:p>
      <w:pPr>
        <w:numPr>
          <w:ilvl w:val="0"/>
          <w:numId w:val="1018"/>
        </w:numPr>
        <w:pStyle w:val="Compact"/>
      </w:pPr>
      <w:r>
        <w:rPr>
          <w:bCs/>
          <w:b/>
        </w:rPr>
        <w:t xml:space="preserve">Enhance Circularity:</w:t>
      </w:r>
      <w:r>
        <w:t xml:space="preserve"> </w:t>
      </w:r>
      <w:r>
        <w:t xml:space="preserve">Leverage the "Yes, regional collection points" circular/take-back programs to maximize actual recycling rates and explore design-for-disassembly to improve material recovery. Investigate opportunities to extend product lifespan through modular design or repair services.</w:t>
      </w:r>
    </w:p>
    <w:p>
      <w:pPr>
        <w:numPr>
          <w:ilvl w:val="0"/>
          <w:numId w:val="1018"/>
        </w:numPr>
        <w:pStyle w:val="Compact"/>
      </w:pPr>
      <w:r>
        <w:rPr>
          <w:bCs/>
          <w:b/>
        </w:rPr>
        <w:t xml:space="preserve">Supply Chain Engagement:</w:t>
      </w:r>
      <w:r>
        <w:t xml:space="preserve"> </w:t>
      </w:r>
      <w:r>
        <w:t xml:space="preserve">Collaborate with upstream suppliers to understand and reduce the carbon intensity of purchased goods and services, especially for electronic components and other high-impact materials.</w:t>
      </w:r>
    </w:p>
    <w:p>
      <w:r>
        <w:pict>
          <v:rect style="width:0;height:1.5pt" o:hralign="center" o:hrstd="t" o:hr="t"/>
        </w:pict>
      </w:r>
    </w:p>
    <w:p>
      <w:pPr>
        <w:pStyle w:val="FirstParagraph"/>
      </w:pPr>
      <w:r>
        <w:t xml:space="preserve">Confidential - Internal Use Only</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mnfqeksude</dc:title>
  <dc:creator/>
  <dc:description>High-detail Product Carbon Footprint (PCF) analysis for mnfqeksude by dkednnijkz, adhering to GHG Protocol and 2026 LSR Update requirements.</dc:description>
  <dc:language>en</dc:language>
  <cp:keywords/>
  <dcterms:created xsi:type="dcterms:W3CDTF">2026-07-15T04:52:06Z</dcterms:created>
  <dcterms:modified xsi:type="dcterms:W3CDTF">2026-07-15T04:52:06Z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