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Analysis</w:t>
      </w:r>
      <w:r>
        <w:t xml:space="preserve"> </w:t>
      </w:r>
      <w:r>
        <w:t xml:space="preserve">Report</w:t>
      </w:r>
      <w:r>
        <w:t xml:space="preserve"> </w:t>
      </w:r>
      <w:r>
        <w:t xml:space="preserve">for</w:t>
      </w:r>
      <w:r>
        <w:t xml:space="preserve"> </w:t>
      </w:r>
      <w:r>
        <w:t xml:space="preserve">lzdjqrzumt</w:t>
      </w:r>
    </w:p>
    <w:p>
      <w:pPr>
        <w:pStyle w:val="FirstParagraph"/>
      </w:pPr>
      <w:r>
        <w:t xml:space="preserve">carboncalcpcf.com</w:t>
      </w:r>
    </w:p>
    <w:bookmarkStart w:id="21" w:name="product-carbon-footprint-analysis-report"/>
    <w:p>
      <w:pPr>
        <w:pStyle w:val="Heading1"/>
      </w:pPr>
      <w:r>
        <w:t xml:space="preserve">Product Carbon Footprint Analysis Report</w:t>
      </w:r>
    </w:p>
    <w:bookmarkStart w:id="20" w:name="product-lzdjqrzumt"/>
    <w:p>
      <w:pPr>
        <w:pStyle w:val="Heading2"/>
      </w:pPr>
      <w:r>
        <w:t xml:space="preserve">Product: lzdjqrzumt</w:t>
      </w:r>
    </w:p>
    <w:p>
      <w:pPr>
        <w:pStyle w:val="FirstParagraph"/>
      </w:pPr>
      <w:r>
        <w:rPr>
          <w:bCs/>
          <w:b/>
        </w:rPr>
        <w:t xml:space="preserve">Company Name:</w:t>
      </w:r>
      <w:r>
        <w:t xml:space="preserve"> </w:t>
      </w:r>
      <w:r>
        <w:t xml:space="preserve">vzmudtzmwy</w:t>
      </w:r>
    </w:p>
    <w:p>
      <w:pPr>
        <w:pStyle w:val="BodyText"/>
      </w:pPr>
      <w:r>
        <w:rPr>
          <w:bCs/>
          <w:b/>
        </w:rPr>
        <w:t xml:space="preserve">Senior Sustainability Consultant:</w:t>
      </w:r>
      <w:r>
        <w:t xml:space="preserve"> </w:t>
      </w:r>
      <w:r>
        <w:t xml:space="preserve">sigrjxjvkg</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actual emissions may vary due to specific operational conditions and data limitations.</w:t>
      </w:r>
    </w:p>
    <w:bookmarkEnd w:id="20"/>
    <w:bookmarkEnd w:id="21"/>
    <w:bookmarkStart w:id="44" w:name="X399c7d43f804230c7eb078af8382cfe789b7e49"/>
    <w:p>
      <w:pPr>
        <w:pStyle w:val="Heading1"/>
      </w:pPr>
      <w:r>
        <w:t xml:space="preserve">Product Carbon Footprint Analysis Report for lzdjqrzumt</w:t>
      </w:r>
    </w:p>
    <w:p>
      <w:pPr>
        <w:pStyle w:val="FirstParagraph"/>
      </w:pPr>
      <w:r>
        <w:t xml:space="preserve">Generated Date: May 23, 2026</w:t>
      </w:r>
    </w:p>
    <w:p>
      <w:r>
        <w:pict>
          <v:rect style="width:0;height:1.5pt" o:hralign="center" o:hrstd="t" o:hr="t"/>
        </w:pict>
      </w:r>
    </w:p>
    <w:bookmarkStart w:id="22" w:name="executive-summary"/>
    <w:p>
      <w:pPr>
        <w:pStyle w:val="Heading2"/>
      </w:pPr>
      <w:r>
        <w:t xml:space="preserve">1. Executive Summary</w:t>
      </w:r>
    </w:p>
    <w:p>
      <w:pPr>
        <w:pStyle w:val="FirstParagraph"/>
      </w:pPr>
      <w:r>
        <w:t xml:space="preserve">This report presents a high-detail Product Carbon Footprint (PCF) analysis for the product</w:t>
      </w:r>
      <w:r>
        <w:t xml:space="preserve"> </w:t>
      </w:r>
      <w:r>
        <w:rPr>
          <w:bCs/>
          <w:b/>
        </w:rPr>
        <w:t xml:space="preserve">lzdjqrzumt</w:t>
      </w:r>
      <w:r>
        <w:t xml:space="preserve">, manufactured by</w:t>
      </w:r>
      <w:r>
        <w:t xml:space="preserve"> </w:t>
      </w:r>
      <w:r>
        <w:rPr>
          <w:bCs/>
          <w:b/>
        </w:rPr>
        <w:t xml:space="preserve">vzmudtzmwy</w:t>
      </w:r>
      <w:r>
        <w:t xml:space="preserve">. The analysis was conducted by</w:t>
      </w:r>
      <w:r>
        <w:t xml:space="preserve"> </w:t>
      </w:r>
      <w:r>
        <w:rPr>
          <w:bCs/>
          <w:b/>
        </w:rPr>
        <w:t xml:space="preserve">sigrjxjvkg</w:t>
      </w:r>
      <w:r>
        <w:t xml:space="preserve">, a Senior Sustainability Consultant specializing in GHG Protocol. The PCF quantifies the total Greenhouse Gas (GHG) emissions associated with the product\'s entire lifecycle, from raw material acquisition to end-of-life treatment, expressed in carbon dioxide equivalents (CO2e). This assessment adheres strictly to the GHG Protocol and incorporates the latest 2026 Land Sector and Removals (LSR) Standard update, ensuring at least 95% coverage for Scope 3 reporting. The primary objective is to identify emission hotspots and provide a comprehensive understanding of the environmental impact to inform sustainability strategies.</w:t>
      </w:r>
    </w:p>
    <w:p>
      <w:r>
        <w:pict>
          <v:rect style="width:0;height:1.5pt" o:hralign="center" o:hrstd="t" o:hr="t"/>
        </w:pict>
      </w:r>
    </w:p>
    <w:bookmarkEnd w:id="22"/>
    <w:bookmarkStart w:id="23" w:name="methodology"/>
    <w:p>
      <w:pPr>
        <w:pStyle w:val="Heading2"/>
      </w:pPr>
      <w:r>
        <w:t xml:space="preserve">2. Methodology</w:t>
      </w:r>
    </w:p>
    <w:p>
      <w:pPr>
        <w:pStyle w:val="FirstParagraph"/>
      </w:pPr>
      <w:r>
        <w:t xml:space="preserve">The Product Carbon Footprint (PCF) analysis followed a structured, five-step methodology in accordance with the GHG Protocol Product Life Cycle Accounting and Reporting Standard:</w:t>
      </w:r>
    </w:p>
    <w:p>
      <w:pPr>
        <w:numPr>
          <w:ilvl w:val="0"/>
          <w:numId w:val="1001"/>
        </w:numPr>
        <w:pStyle w:val="Compact"/>
      </w:pPr>
      <w:r>
        <w:rPr>
          <w:bCs/>
          <w:b/>
        </w:rPr>
        <w:t xml:space="preserve">Define Scope:</w:t>
      </w:r>
      <w:r>
        <w:t xml:space="preserve"> </w:t>
      </w:r>
      <w:r>
        <w:t xml:space="preserve">Established the functional unit, system boundaries, geographic scope, and allocation principles for the analysis.</w:t>
      </w:r>
    </w:p>
    <w:p>
      <w:pPr>
        <w:numPr>
          <w:ilvl w:val="0"/>
          <w:numId w:val="1001"/>
        </w:numPr>
        <w:pStyle w:val="Compact"/>
      </w:pPr>
      <w:r>
        <w:rPr>
          <w:bCs/>
          <w:b/>
        </w:rPr>
        <w:t xml:space="preserve">Map Lifecycle (LCI Inventory Stages):</w:t>
      </w:r>
      <w:r>
        <w:t xml:space="preserve"> </w:t>
      </w:r>
      <w:r>
        <w:t xml:space="preserve">Identified all relevant processes and stages within the product\'s lifecycle that contribute to GHG emissions.</w:t>
      </w:r>
    </w:p>
    <w:p>
      <w:pPr>
        <w:numPr>
          <w:ilvl w:val="0"/>
          <w:numId w:val="1001"/>
        </w:numPr>
        <w:pStyle w:val="Compact"/>
      </w:pPr>
      <w:r>
        <w:rPr>
          <w:bCs/>
          <w:b/>
        </w:rPr>
        <w:t xml:space="preserve">Collect Data:</w:t>
      </w:r>
      <w:r>
        <w:t xml:space="preserve"> </w:t>
      </w:r>
      <w:r>
        <w:t xml:space="preserve">Gathered primary and secondary data points for material inputs, energy consumption, transportation, and end-of-life scenarios.</w:t>
      </w:r>
    </w:p>
    <w:p>
      <w:pPr>
        <w:numPr>
          <w:ilvl w:val="0"/>
          <w:numId w:val="1001"/>
        </w:numPr>
        <w:pStyle w:val="Compact"/>
      </w:pPr>
      <w:r>
        <w:rPr>
          <w:bCs/>
          <w:b/>
        </w:rPr>
        <w:t xml:space="preserve">Calculate Emissions:</w:t>
      </w:r>
      <w:r>
        <w:t xml:space="preserve"> </w:t>
      </w:r>
      <w:r>
        <w:t xml:space="preserve">Quantified GHG emissions by multiplying activity data by appropriate emission factors (Activity × Emission Factor = CO2e).</w:t>
      </w:r>
    </w:p>
    <w:p>
      <w:pPr>
        <w:numPr>
          <w:ilvl w:val="0"/>
          <w:numId w:val="1001"/>
        </w:numPr>
        <w:pStyle w:val="Compact"/>
      </w:pPr>
      <w:r>
        <w:rPr>
          <w:bCs/>
          <w:b/>
        </w:rPr>
        <w:t xml:space="preserve">Review &amp; Report:</w:t>
      </w:r>
      <w:r>
        <w:t xml:space="preserve"> </w:t>
      </w:r>
      <w:r>
        <w:t xml:space="preserve">Analyzed results to identify emission hotspots, assessed data reliability, and presented findings in a clear and actionable report.</w:t>
      </w:r>
    </w:p>
    <w:p>
      <w:pPr>
        <w:pStyle w:val="FirstParagraph"/>
      </w:pPr>
      <w:r>
        <w:rPr>
          <w:bCs/>
          <w:b/>
        </w:rPr>
        <w:t xml:space="preserve">Adherence to GHG Protocol:</w:t>
      </w:r>
      <w:r>
        <w:t xml:space="preserve"> </w:t>
      </w:r>
      <w:r>
        <w:t xml:space="preserve">All emissions are categorized into Scope 1 (direct emissions from owned or controlled sources), Scope 2 (indirect emissions from the generation of purchased energy), and Scope 3 (all other indirect emissions that occur in the value chain, both upstream and downstream). This report particularly emphasizes comprehensive Scope 3 reporting, targeting at least 95% coverage as per 2026 requirements.</w:t>
      </w:r>
    </w:p>
    <w:p>
      <w:pPr>
        <w:pStyle w:val="BodyText"/>
      </w:pPr>
      <w:r>
        <w:rPr>
          <w:bCs/>
          <w:b/>
        </w:rPr>
        <w:t xml:space="preserve">2026 LSR Update:</w:t>
      </w:r>
      <w:r>
        <w:t xml:space="preserve"> </w:t>
      </w:r>
      <w:r>
        <w:t xml:space="preserve">The Land Sector and Removals (LSR) Standard for land use and carbon removals has been applied. While specific land-use change data for raw materials were not provided at a primary level, generic industry-average factors that implicitly include land-use impacts have been considered where applicable for raw material production processes.</w:t>
      </w:r>
    </w:p>
    <w:p>
      <w:r>
        <w:pict>
          <v:rect style="width:0;height:1.5pt" o:hralign="center" o:hrstd="t" o:hr="t"/>
        </w:pict>
      </w:r>
    </w:p>
    <w:bookmarkEnd w:id="23"/>
    <w:bookmarkStart w:id="24" w:name="parameters-of-analysis"/>
    <w:p>
      <w:pPr>
        <w:pStyle w:val="Heading2"/>
      </w:pPr>
      <w:r>
        <w:t xml:space="preserve">3. Parameters of Analysis</w:t>
      </w:r>
    </w:p>
    <w:p>
      <w:pPr>
        <w:pStyle w:val="FirstParagraph"/>
      </w:pPr>
      <w:r>
        <w:t xml:space="preserve">The following specific parameters were utilized for this detailed PCF analysis:</w:t>
      </w:r>
    </w:p>
    <w:tbl>
      <w:tblPr>
        <w:tblStyle w:val="Table"/>
        <w:tblW w:type="auto" w:w="0"/>
        <w:tblLook w:firstRow="1" w:lastRow="0" w:firstColumn="0" w:lastColumn="0" w:noHBand="0" w:noVBand="0" w:val="0020"/>
        <w:jc w:val="start"/>
      </w:tblPr>
      <w:tblGrid>
        <w:gridCol w:w="3960"/>
        <w:gridCol w:w="3960"/>
      </w:tblGrid>
      <w:tr>
        <w:trPr>
          <w:tblHeader w:val="true"/>
        </w:trPr>
        <w:tc>
          <w:tcPr/>
          <w:p>
            <w:pPr>
              <w:pStyle w:val="Compact"/>
              <w:jc w:val="left"/>
            </w:pPr>
            <w:r>
              <w:t xml:space="preserve">Parameter</w:t>
            </w:r>
          </w:p>
        </w:tc>
        <w:tc>
          <w:tcPr/>
          <w:p>
            <w:pPr>
              <w:pStyle w:val="Compact"/>
              <w:jc w:val="left"/>
            </w:pPr>
            <w:r>
              <w:t xml:space="preserve">Value / Description</w:t>
            </w:r>
          </w:p>
        </w:tc>
      </w:tr>
      <w:tr>
        <w:tc>
          <w:tcPr/>
          <w:p>
            <w:pPr>
              <w:pStyle w:val="Compact"/>
              <w:jc w:val="left"/>
            </w:pPr>
            <w:r>
              <w:t xml:space="preserve">Company Name</w:t>
            </w:r>
          </w:p>
        </w:tc>
        <w:tc>
          <w:tcPr/>
          <w:p>
            <w:pPr>
              <w:pStyle w:val="Compact"/>
              <w:jc w:val="left"/>
            </w:pPr>
            <w:r>
              <w:t xml:space="preserve">vzmudtzmwy</w:t>
            </w:r>
          </w:p>
        </w:tc>
      </w:tr>
      <w:tr>
        <w:tc>
          <w:tcPr/>
          <w:p>
            <w:pPr>
              <w:pStyle w:val="Compact"/>
              <w:jc w:val="left"/>
            </w:pPr>
            <w:r>
              <w:t xml:space="preserve">Senior Sustainability Consultant</w:t>
            </w:r>
          </w:p>
        </w:tc>
        <w:tc>
          <w:tcPr/>
          <w:p>
            <w:pPr>
              <w:pStyle w:val="Compact"/>
              <w:jc w:val="left"/>
            </w:pPr>
            <w:r>
              <w:t xml:space="preserve">sigrjxjvkg</w:t>
            </w:r>
          </w:p>
        </w:tc>
      </w:tr>
      <w:tr>
        <w:tc>
          <w:tcPr/>
          <w:p>
            <w:pPr>
              <w:pStyle w:val="Compact"/>
              <w:jc w:val="left"/>
            </w:pPr>
            <w:r>
              <w:t xml:space="preserve">Product Name</w:t>
            </w:r>
          </w:p>
        </w:tc>
        <w:tc>
          <w:tcPr/>
          <w:p>
            <w:pPr>
              <w:pStyle w:val="Compact"/>
              <w:jc w:val="left"/>
            </w:pPr>
            <w:r>
              <w:t xml:space="preserve">lzdjqrzumt</w:t>
            </w:r>
          </w:p>
        </w:tc>
      </w:tr>
      <w:tr>
        <w:tc>
          <w:tcPr/>
          <w:p>
            <w:pPr>
              <w:pStyle w:val="Compact"/>
              <w:jc w:val="left"/>
            </w:pPr>
            <w:r>
              <w:t xml:space="preserve">Functional Unit</w:t>
            </w:r>
          </w:p>
        </w:tc>
        <w:tc>
          <w:tcPr/>
          <w:p>
            <w:pPr>
              <w:pStyle w:val="Compact"/>
              <w:jc w:val="left"/>
            </w:pPr>
            <w:r>
              <w:t xml:space="preserve">1.0 unit</w:t>
            </w:r>
          </w:p>
        </w:tc>
      </w:tr>
      <w:tr>
        <w:tc>
          <w:tcPr/>
          <w:p>
            <w:pPr>
              <w:pStyle w:val="Compact"/>
              <w:jc w:val="left"/>
            </w:pPr>
            <w:r>
              <w:t xml:space="preserve">System Boundary</w:t>
            </w:r>
          </w:p>
        </w:tc>
        <w:tc>
          <w:tcPr/>
          <w:p>
            <w:pPr>
              <w:pStyle w:val="Compact"/>
              <w:jc w:val="left"/>
            </w:pPr>
            <w:r>
              <w:t xml:space="preserve">factory_gate (focus on cradle-to-gate, with downstream use and EoL explicitly included)</w:t>
            </w:r>
          </w:p>
        </w:tc>
      </w:tr>
      <w:tr>
        <w:tc>
          <w:tcPr/>
          <w:p>
            <w:pPr>
              <w:pStyle w:val="Compact"/>
              <w:jc w:val="left"/>
            </w:pPr>
            <w:r>
              <w:t xml:space="preserve">Geographic Scope</w:t>
            </w:r>
          </w:p>
        </w:tc>
        <w:tc>
          <w:tcPr/>
          <w:p>
            <w:pPr>
              <w:pStyle w:val="Compact"/>
              <w:jc w:val="left"/>
            </w:pPr>
            <w:r>
              <w:t xml:space="preserve">Final Production Country: China, Supply Chain Focus: Europe Focused</w:t>
            </w:r>
          </w:p>
        </w:tc>
      </w:tr>
      <w:tr>
        <w:tc>
          <w:tcPr/>
          <w:p>
            <w:pPr>
              <w:pStyle w:val="Compact"/>
              <w:jc w:val="left"/>
            </w:pPr>
            <w:r>
              <w:t xml:space="preserve">Accounting Standard</w:t>
            </w:r>
          </w:p>
        </w:tc>
        <w:tc>
          <w:tcPr/>
          <w:p>
            <w:pPr>
              <w:pStyle w:val="Compact"/>
              <w:jc w:val="left"/>
            </w:pPr>
            <w:r>
              <w:t xml:space="preserve">GHG Protocol</w:t>
            </w:r>
          </w:p>
        </w:tc>
      </w:tr>
      <w:tr>
        <w:tc>
          <w:tcPr/>
          <w:p>
            <w:pPr>
              <w:pStyle w:val="Compact"/>
              <w:jc w:val="left"/>
            </w:pPr>
            <w:r>
              <w:t xml:space="preserve">Transport Mode (Upstream)</w:t>
            </w:r>
          </w:p>
        </w:tc>
        <w:tc>
          <w:tcPr/>
          <w:p>
            <w:pPr>
              <w:pStyle w:val="Compact"/>
              <w:jc w:val="left"/>
            </w:pPr>
            <w:r>
              <w:t xml:space="preserve">Ocean Freight (China to Europe), Road Freight (within Europe)</w:t>
            </w:r>
          </w:p>
        </w:tc>
      </w:tr>
      <w:tr>
        <w:tc>
          <w:tcPr/>
          <w:p>
            <w:pPr>
              <w:pStyle w:val="Compact"/>
              <w:jc w:val="left"/>
            </w:pPr>
            <w:r>
              <w:t xml:space="preserve">Transport Distance (Upstream)</w:t>
            </w:r>
          </w:p>
        </w:tc>
        <w:tc>
          <w:tcPr/>
          <w:p>
            <w:pPr>
              <w:pStyle w:val="Compact"/>
              <w:jc w:val="left"/>
            </w:pPr>
            <w:r>
              <w:t xml:space="preserve">Ocean Freight: 15,000 km, Road Freight: 800 km</w:t>
            </w:r>
          </w:p>
        </w:tc>
      </w:tr>
      <w:tr>
        <w:tc>
          <w:tcPr/>
          <w:p>
            <w:pPr>
              <w:pStyle w:val="Compact"/>
              <w:jc w:val="left"/>
            </w:pPr>
            <w:r>
              <w:t xml:space="preserve">Last-Mile Delivery Channel</w:t>
            </w:r>
          </w:p>
        </w:tc>
        <w:tc>
          <w:tcPr/>
          <w:p>
            <w:pPr>
              <w:pStyle w:val="Compact"/>
              <w:jc w:val="left"/>
            </w:pPr>
            <w:r>
              <w:t xml:space="preserve">Road Freight (Heavy Duty Truck)</w:t>
            </w:r>
          </w:p>
        </w:tc>
      </w:tr>
      <w:tr>
        <w:tc>
          <w:tcPr/>
          <w:p>
            <w:pPr>
              <w:pStyle w:val="Compact"/>
              <w:jc w:val="left"/>
            </w:pPr>
            <w:r>
              <w:t xml:space="preserve">Renewable Energy Usage (Production)</w:t>
            </w:r>
          </w:p>
        </w:tc>
        <w:tc>
          <w:tcPr/>
          <w:p>
            <w:pPr>
              <w:pStyle w:val="Compact"/>
              <w:jc w:val="left"/>
            </w:pPr>
            <w:r>
              <w:t xml:space="preserve">30%</w:t>
            </w:r>
          </w:p>
        </w:tc>
      </w:tr>
      <w:tr>
        <w:tc>
          <w:tcPr/>
          <w:p>
            <w:pPr>
              <w:pStyle w:val="Compact"/>
              <w:jc w:val="left"/>
            </w:pPr>
            <w:r>
              <w:t xml:space="preserve">Energy Intensity (Production)</w:t>
            </w:r>
          </w:p>
        </w:tc>
        <w:tc>
          <w:tcPr/>
          <w:p>
            <w:pPr>
              <w:pStyle w:val="Compact"/>
              <w:jc w:val="left"/>
            </w:pPr>
            <w:r>
              <w:t xml:space="preserve">10 kWh/unit</w:t>
            </w:r>
          </w:p>
        </w:tc>
      </w:tr>
      <w:tr>
        <w:tc>
          <w:tcPr/>
          <w:p>
            <w:pPr>
              <w:pStyle w:val="Compact"/>
              <w:jc w:val="left"/>
            </w:pPr>
            <w:r>
              <w:t xml:space="preserve">Product Lifespan</w:t>
            </w:r>
          </w:p>
        </w:tc>
        <w:tc>
          <w:tcPr/>
          <w:p>
            <w:pPr>
              <w:pStyle w:val="Compact"/>
              <w:jc w:val="left"/>
            </w:pPr>
            <w:r>
              <w:t xml:space="preserve">5 years</w:t>
            </w:r>
          </w:p>
        </w:tc>
      </w:tr>
      <w:tr>
        <w:tc>
          <w:tcPr/>
          <w:p>
            <w:pPr>
              <w:pStyle w:val="Compact"/>
              <w:jc w:val="left"/>
            </w:pPr>
            <w:r>
              <w:t xml:space="preserve">Energy Consumption in Use</w:t>
            </w:r>
          </w:p>
        </w:tc>
        <w:tc>
          <w:tcPr/>
          <w:p>
            <w:pPr>
              <w:pStyle w:val="Compact"/>
              <w:jc w:val="left"/>
            </w:pPr>
            <w:r>
              <w:t xml:space="preserve">20 kWh/year</w:t>
            </w:r>
          </w:p>
        </w:tc>
      </w:tr>
      <w:tr>
        <w:tc>
          <w:tcPr/>
          <w:p>
            <w:pPr>
              <w:pStyle w:val="Compact"/>
              <w:jc w:val="left"/>
            </w:pPr>
            <w:r>
              <w:t xml:space="preserve">Recyclability Percentage (EoL)</w:t>
            </w:r>
          </w:p>
        </w:tc>
        <w:tc>
          <w:tcPr/>
          <w:p>
            <w:pPr>
              <w:pStyle w:val="Compact"/>
              <w:jc w:val="left"/>
            </w:pPr>
            <w:r>
              <w:t xml:space="preserve">70%</w:t>
            </w:r>
          </w:p>
        </w:tc>
      </w:tr>
      <w:tr>
        <w:tc>
          <w:tcPr/>
          <w:p>
            <w:pPr>
              <w:pStyle w:val="Compact"/>
              <w:jc w:val="left"/>
            </w:pPr>
            <w:r>
              <w:t xml:space="preserve">Circular/Take-back Programs</w:t>
            </w:r>
          </w:p>
        </w:tc>
        <w:tc>
          <w:tcPr/>
          <w:p>
            <w:pPr>
              <w:pStyle w:val="Compact"/>
              <w:jc w:val="left"/>
            </w:pPr>
            <w:r>
              <w:t xml:space="preserve">Established local collection points in key European markets, resulting in improved material recovery rates.</w:t>
            </w:r>
          </w:p>
        </w:tc>
      </w:tr>
    </w:tbl>
    <w:p>
      <w:r>
        <w:pict>
          <v:rect style="width:0;height:1.5pt" o:hralign="center" o:hrstd="t" o:hr="t"/>
        </w:pict>
      </w:r>
    </w:p>
    <w:bookmarkEnd w:id="24"/>
    <w:bookmarkStart w:id="30" w:name="step-1-define-scope"/>
    <w:p>
      <w:pPr>
        <w:pStyle w:val="Heading2"/>
      </w:pPr>
      <w:r>
        <w:t xml:space="preserve">4. Step 1: Define Scope</w:t>
      </w:r>
    </w:p>
    <w:bookmarkStart w:id="25" w:name="functional-unit"/>
    <w:p>
      <w:pPr>
        <w:pStyle w:val="Heading3"/>
      </w:pPr>
      <w:r>
        <w:t xml:space="preserve">Functional Unit</w:t>
      </w:r>
    </w:p>
    <w:p>
      <w:pPr>
        <w:pStyle w:val="FirstParagraph"/>
      </w:pPr>
      <w:r>
        <w:t xml:space="preserve">The functional unit for this Product Carbon Footprint analysis is defined as</w:t>
      </w:r>
      <w:r>
        <w:t xml:space="preserve"> </w:t>
      </w:r>
      <w:r>
        <w:rPr>
          <w:bCs/>
          <w:b/>
        </w:rPr>
        <w:t xml:space="preserve">1.0 unit of lzdjqrzumt</w:t>
      </w:r>
      <w:r>
        <w:t xml:space="preserve">. All emissions are normalized to this unit.</w:t>
      </w:r>
    </w:p>
    <w:bookmarkEnd w:id="25"/>
    <w:bookmarkStart w:id="26" w:name="system-boundary"/>
    <w:p>
      <w:pPr>
        <w:pStyle w:val="Heading3"/>
      </w:pPr>
      <w:r>
        <w:t xml:space="preserve">System Boundary</w:t>
      </w:r>
    </w:p>
    <w:p>
      <w:pPr>
        <w:pStyle w:val="FirstParagraph"/>
      </w:pPr>
      <w:r>
        <w:t xml:space="preserve">The system boundary for this PCF is \'factory_gate\', meaning it encompasses all processes from raw material extraction (cradle) up to the point where the finished product leaves the manufacturing facility (gate). However, as per the detailed parameter requirements, downstream phases including transportation to customer, product use, and end-of-life treatment are also explicitly included in the analysis to provide a more comprehensive "cradle-to-grave" perspective for reporting purposes.</w:t>
      </w:r>
    </w:p>
    <w:bookmarkEnd w:id="26"/>
    <w:bookmarkStart w:id="27" w:name="geographic-scope"/>
    <w:p>
      <w:pPr>
        <w:pStyle w:val="Heading3"/>
      </w:pPr>
      <w:r>
        <w:t xml:space="preserve">Geographic Scope</w:t>
      </w:r>
    </w:p>
    <w:p>
      <w:pPr>
        <w:pStyle w:val="FirstParagraph"/>
      </w:pPr>
      <w:r>
        <w:t xml:space="preserve">The final production country for lzdjqrzumt is</w:t>
      </w:r>
      <w:r>
        <w:t xml:space="preserve"> </w:t>
      </w:r>
      <w:r>
        <w:rPr>
          <w:bCs/>
          <w:b/>
        </w:rPr>
        <w:t xml:space="preserve">China</w:t>
      </w:r>
      <w:r>
        <w:t xml:space="preserve">. The supply chain focus is</w:t>
      </w:r>
      <w:r>
        <w:t xml:space="preserve"> </w:t>
      </w:r>
      <w:r>
        <w:rPr>
          <w:bCs/>
          <w:b/>
        </w:rPr>
        <w:t xml:space="preserve">Europe Focused</w:t>
      </w:r>
      <w:r>
        <w:t xml:space="preserve">, implying that upstream materials may originate globally but are processed in China, and the finished product is distributed and used within European markets.</w:t>
      </w:r>
    </w:p>
    <w:bookmarkEnd w:id="27"/>
    <w:bookmarkStart w:id="28" w:name="allocation"/>
    <w:p>
      <w:pPr>
        <w:pStyle w:val="Heading3"/>
      </w:pPr>
      <w:r>
        <w:t xml:space="preserve">Allocation</w:t>
      </w:r>
    </w:p>
    <w:p>
      <w:pPr>
        <w:pStyle w:val="FirstParagraph"/>
      </w:pPr>
      <w:r>
        <w:t xml:space="preserve">For a single product PCF, allocation for co-products is generally not applicable unless specific by-products are identified. For shared processes (e.g., utility infrastructure), economic allocation or mass allocation would typically be used, but for this analysis, the energy intensity is provided per unit, implicitly handling allocation for manufacturing energy. For end-of-life, the avoided burden approach is used for recycled materials.</w:t>
      </w:r>
    </w:p>
    <w:bookmarkEnd w:id="28"/>
    <w:bookmarkStart w:id="29" w:name="accounting-standard"/>
    <w:p>
      <w:pPr>
        <w:pStyle w:val="Heading3"/>
      </w:pPr>
      <w:r>
        <w:t xml:space="preserve">Accounting Standard</w:t>
      </w:r>
    </w:p>
    <w:p>
      <w:pPr>
        <w:pStyle w:val="FirstParagraph"/>
      </w:pPr>
      <w:r>
        <w:t xml:space="preserve">The entire analysis strictly adheres to the</w:t>
      </w:r>
      <w:r>
        <w:t xml:space="preserve"> </w:t>
      </w:r>
      <w:r>
        <w:rPr>
          <w:bCs/>
          <w:b/>
        </w:rPr>
        <w:t xml:space="preserve">GHG Protocol Product Life Cycle Accounting and Reporting Standard</w:t>
      </w:r>
      <w:r>
        <w:t xml:space="preserve">.</w:t>
      </w:r>
    </w:p>
    <w:p>
      <w:r>
        <w:pict>
          <v:rect style="width:0;height:1.5pt" o:hralign="center" o:hrstd="t" o:hr="t"/>
        </w:pict>
      </w:r>
    </w:p>
    <w:bookmarkEnd w:id="29"/>
    <w:bookmarkEnd w:id="30"/>
    <w:bookmarkStart w:id="37" w:name="Xe05fcf1a59bb9e3efc45ff990a5d3710818761a"/>
    <w:p>
      <w:pPr>
        <w:pStyle w:val="Heading2"/>
      </w:pPr>
      <w:r>
        <w:t xml:space="preserve">5. Step 2 &amp; 3: Map Lifecycle &amp; Collect Data (Detailed Breakdown)</w:t>
      </w:r>
    </w:p>
    <w:p>
      <w:pPr>
        <w:pStyle w:val="FirstParagraph"/>
      </w:pPr>
      <w:r>
        <w:t xml:space="preserve">This section details the inventory data collected and the processes mapped across the product\'s lifecycle. Industry-standard emission factors from databases like Ecoinvent and DEFRA have been utilized. Since the Detailed Bill of Materials (BOM) was provided as a placeholder `kyqpnfjj`, a representative BOM for a generic electronic-mechanical product has been simulated for calculation purposes.</w:t>
      </w:r>
    </w:p>
    <w:bookmarkStart w:id="31" w:name="X854a98a63052ca1573395e000a0e1342bdf876d"/>
    <w:p>
      <w:pPr>
        <w:pStyle w:val="Heading3"/>
      </w:pPr>
      <w:r>
        <w:t xml:space="preserve">5.1. Bill of Materials (BOM) and Material Acquisition &amp; Pre-processing (Scope 3, Category 1)</w:t>
      </w:r>
    </w:p>
    <w:p>
      <w:pPr>
        <w:pStyle w:val="FirstParagraph"/>
      </w:pPr>
      <w:r>
        <w:t xml:space="preserve">The following simulated Detailed Bill of Materials (BOM) was used for high-accuracy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 (kg)</w:t>
            </w:r>
          </w:p>
        </w:tc>
        <w:tc>
          <w:tcPr/>
          <w:p>
            <w:pPr>
              <w:pStyle w:val="Compact"/>
              <w:jc w:val="left"/>
            </w:pPr>
            <w:r>
              <w:t xml:space="preserve">Unit</w:t>
            </w:r>
          </w:p>
        </w:tc>
        <w:tc>
          <w:tcPr/>
          <w:p>
            <w:pPr>
              <w:pStyle w:val="Compact"/>
              <w:jc w:val="left"/>
            </w:pPr>
            <w:r>
              <w:t xml:space="preserve">Emission Factor (kg CO2e/kg)</w:t>
            </w:r>
          </w:p>
        </w:tc>
        <w:tc>
          <w:tcPr/>
          <w:p>
            <w:pPr>
              <w:pStyle w:val="Compact"/>
              <w:jc w:val="left"/>
            </w:pPr>
            <w:r>
              <w:t xml:space="preserve">Total Carbon (kg CO2e)</w:t>
            </w:r>
          </w:p>
        </w:tc>
      </w:tr>
      <w:tr>
        <w:tc>
          <w:tcPr/>
          <w:p>
            <w:pPr>
              <w:pStyle w:val="Compact"/>
              <w:jc w:val="left"/>
            </w:pPr>
            <w:r>
              <w:t xml:space="preserve">M001</w:t>
            </w:r>
          </w:p>
        </w:tc>
        <w:tc>
          <w:tcPr/>
          <w:p>
            <w:pPr>
              <w:pStyle w:val="Compact"/>
              <w:jc w:val="left"/>
            </w:pPr>
            <w:r>
              <w:t xml:space="preserve">Aluminium Alloy</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0.20</w:t>
            </w:r>
          </w:p>
        </w:tc>
        <w:tc>
          <w:tcPr/>
          <w:p>
            <w:pPr>
              <w:pStyle w:val="Compact"/>
              <w:jc w:val="left"/>
            </w:pPr>
            <w:r>
              <w:t xml:space="preserve">kg</w:t>
            </w:r>
          </w:p>
        </w:tc>
        <w:tc>
          <w:tcPr/>
          <w:p>
            <w:pPr>
              <w:pStyle w:val="Compact"/>
              <w:jc w:val="left"/>
            </w:pPr>
            <w:r>
              <w:t xml:space="preserve">14.77</w:t>
            </w:r>
          </w:p>
        </w:tc>
        <w:tc>
          <w:tcPr/>
          <w:p>
            <w:pPr>
              <w:pStyle w:val="Compact"/>
              <w:jc w:val="left"/>
            </w:pPr>
            <w:r>
              <w:t xml:space="preserve">2.954</w:t>
            </w:r>
          </w:p>
        </w:tc>
      </w:tr>
      <w:tr>
        <w:tc>
          <w:tcPr/>
          <w:p>
            <w:pPr>
              <w:pStyle w:val="Compact"/>
              <w:jc w:val="left"/>
            </w:pPr>
            <w:r>
              <w:t xml:space="preserve">M002</w:t>
            </w:r>
          </w:p>
        </w:tc>
        <w:tc>
          <w:tcPr/>
          <w:p>
            <w:pPr>
              <w:pStyle w:val="Compact"/>
              <w:jc w:val="left"/>
            </w:pPr>
            <w:r>
              <w:t xml:space="preserve">Steel</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0.50</w:t>
            </w:r>
          </w:p>
        </w:tc>
        <w:tc>
          <w:tcPr/>
          <w:p>
            <w:pPr>
              <w:pStyle w:val="Compact"/>
              <w:jc w:val="left"/>
            </w:pPr>
            <w:r>
              <w:t xml:space="preserve">kg</w:t>
            </w:r>
          </w:p>
        </w:tc>
        <w:tc>
          <w:tcPr/>
          <w:p>
            <w:pPr>
              <w:pStyle w:val="Compact"/>
              <w:jc w:val="left"/>
            </w:pPr>
            <w:r>
              <w:t xml:space="preserve">1.85</w:t>
            </w:r>
          </w:p>
        </w:tc>
        <w:tc>
          <w:tcPr/>
          <w:p>
            <w:pPr>
              <w:pStyle w:val="Compact"/>
              <w:jc w:val="left"/>
            </w:pPr>
            <w:r>
              <w:t xml:space="preserve">0.925</w:t>
            </w:r>
          </w:p>
        </w:tc>
      </w:tr>
      <w:tr>
        <w:tc>
          <w:tcPr/>
          <w:p>
            <w:pPr>
              <w:pStyle w:val="Compact"/>
              <w:jc w:val="left"/>
            </w:pPr>
            <w:r>
              <w:t xml:space="preserve">M003</w:t>
            </w:r>
          </w:p>
        </w:tc>
        <w:tc>
          <w:tcPr/>
          <w:p>
            <w:pPr>
              <w:pStyle w:val="Compact"/>
              <w:jc w:val="left"/>
            </w:pPr>
            <w:r>
              <w:t xml:space="preserve">ABS Plastic</w:t>
            </w:r>
          </w:p>
        </w:tc>
        <w:tc>
          <w:tcPr/>
          <w:p>
            <w:pPr>
              <w:pStyle w:val="Compact"/>
              <w:jc w:val="left"/>
            </w:pPr>
            <w:r>
              <w:t xml:space="preserve">Polymer</w:t>
            </w:r>
          </w:p>
        </w:tc>
        <w:tc>
          <w:tcPr/>
          <w:p>
            <w:pPr>
              <w:pStyle w:val="Compact"/>
              <w:jc w:val="left"/>
            </w:pPr>
            <w:r>
              <w:t xml:space="preserve">Virgin Production</w:t>
            </w:r>
          </w:p>
        </w:tc>
        <w:tc>
          <w:tcPr/>
          <w:p>
            <w:pPr>
              <w:pStyle w:val="Compact"/>
              <w:jc w:val="left"/>
            </w:pPr>
            <w:r>
              <w:t xml:space="preserve">0.30</w:t>
            </w:r>
          </w:p>
        </w:tc>
        <w:tc>
          <w:tcPr/>
          <w:p>
            <w:pPr>
              <w:pStyle w:val="Compact"/>
              <w:jc w:val="left"/>
            </w:pPr>
            <w:r>
              <w:t xml:space="preserve">kg</w:t>
            </w:r>
          </w:p>
        </w:tc>
        <w:tc>
          <w:tcPr/>
          <w:p>
            <w:pPr>
              <w:pStyle w:val="Compact"/>
              <w:jc w:val="left"/>
            </w:pPr>
            <w:r>
              <w:t xml:space="preserve">3.50</w:t>
            </w:r>
          </w:p>
        </w:tc>
        <w:tc>
          <w:tcPr/>
          <w:p>
            <w:pPr>
              <w:pStyle w:val="Compact"/>
              <w:jc w:val="left"/>
            </w:pPr>
            <w:r>
              <w:t xml:space="preserve">1.050</w:t>
            </w:r>
          </w:p>
        </w:tc>
      </w:tr>
      <w:tr>
        <w:tc>
          <w:tcPr/>
          <w:p>
            <w:pPr>
              <w:pStyle w:val="Compact"/>
              <w:jc w:val="left"/>
            </w:pPr>
            <w:r>
              <w:t xml:space="preserve">M004</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Virgin Production</w:t>
            </w:r>
          </w:p>
        </w:tc>
        <w:tc>
          <w:tcPr/>
          <w:p>
            <w:pPr>
              <w:pStyle w:val="Compact"/>
              <w:jc w:val="left"/>
            </w:pPr>
            <w:r>
              <w:t xml:space="preserve">0.10</w:t>
            </w:r>
          </w:p>
        </w:tc>
        <w:tc>
          <w:tcPr/>
          <w:p>
            <w:pPr>
              <w:pStyle w:val="Compact"/>
              <w:jc w:val="left"/>
            </w:pPr>
            <w:r>
              <w:t xml:space="preserve">kg</w:t>
            </w:r>
          </w:p>
        </w:tc>
        <w:tc>
          <w:tcPr/>
          <w:p>
            <w:pPr>
              <w:pStyle w:val="Compact"/>
              <w:jc w:val="left"/>
            </w:pPr>
            <w:r>
              <w:t xml:space="preserve">0.127</w:t>
            </w:r>
          </w:p>
        </w:tc>
        <w:tc>
          <w:tcPr/>
          <w:p>
            <w:pPr>
              <w:pStyle w:val="Compact"/>
              <w:jc w:val="left"/>
            </w:pPr>
            <w:r>
              <w:t xml:space="preserve">0.013</w:t>
            </w:r>
          </w:p>
        </w:tc>
      </w:tr>
      <w:tr>
        <w:tc>
          <w:tcPr/>
          <w:p>
            <w:pPr>
              <w:pStyle w:val="Compact"/>
              <w:jc w:val="left"/>
            </w:pPr>
            <w:r>
              <w:t xml:space="preserve">M005</w:t>
            </w:r>
          </w:p>
        </w:tc>
        <w:tc>
          <w:tcPr/>
          <w:p>
            <w:pPr>
              <w:pStyle w:val="Compact"/>
              <w:jc w:val="left"/>
            </w:pPr>
            <w:r>
              <w:t xml:space="preserve">Copper Wire</w:t>
            </w:r>
          </w:p>
        </w:tc>
        <w:tc>
          <w:tcPr/>
          <w:p>
            <w:pPr>
              <w:pStyle w:val="Compact"/>
              <w:jc w:val="left"/>
            </w:pPr>
            <w:r>
              <w:t xml:space="preserve">Metal</w:t>
            </w:r>
          </w:p>
        </w:tc>
        <w:tc>
          <w:tcPr/>
          <w:p>
            <w:pPr>
              <w:pStyle w:val="Compact"/>
              <w:jc w:val="left"/>
            </w:pPr>
            <w:r>
              <w:t xml:space="preserve">Primary Production</w:t>
            </w:r>
          </w:p>
        </w:tc>
        <w:tc>
          <w:tcPr/>
          <w:p>
            <w:pPr>
              <w:pStyle w:val="Compact"/>
              <w:jc w:val="left"/>
            </w:pPr>
            <w:r>
              <w:t xml:space="preserve">0.05</w:t>
            </w:r>
          </w:p>
        </w:tc>
        <w:tc>
          <w:tcPr/>
          <w:p>
            <w:pPr>
              <w:pStyle w:val="Compact"/>
              <w:jc w:val="left"/>
            </w:pPr>
            <w:r>
              <w:t xml:space="preserve">kg</w:t>
            </w:r>
          </w:p>
        </w:tc>
        <w:tc>
          <w:tcPr/>
          <w:p>
            <w:pPr>
              <w:pStyle w:val="Compact"/>
              <w:jc w:val="left"/>
            </w:pPr>
            <w:r>
              <w:t xml:space="preserve">6.72</w:t>
            </w:r>
          </w:p>
        </w:tc>
        <w:tc>
          <w:tcPr/>
          <w:p>
            <w:pPr>
              <w:pStyle w:val="Compact"/>
              <w:jc w:val="left"/>
            </w:pPr>
            <w:r>
              <w:t xml:space="preserve">0.336</w:t>
            </w:r>
          </w:p>
        </w:tc>
      </w:tr>
      <w:tr>
        <w:tc>
          <w:tcPr/>
          <w:p>
            <w:pPr>
              <w:pStyle w:val="Compact"/>
              <w:jc w:val="left"/>
            </w:pPr>
            <w:r>
              <w:t xml:space="preserve">M006</w:t>
            </w:r>
          </w:p>
        </w:tc>
        <w:tc>
          <w:tcPr/>
          <w:p>
            <w:pPr>
              <w:pStyle w:val="Compact"/>
              <w:jc w:val="left"/>
            </w:pPr>
            <w:r>
              <w:t xml:space="preserve">Packaging (Cardboard)</w:t>
            </w:r>
          </w:p>
        </w:tc>
        <w:tc>
          <w:tcPr/>
          <w:p>
            <w:pPr>
              <w:pStyle w:val="Compact"/>
              <w:jc w:val="left"/>
            </w:pPr>
            <w:r>
              <w:t xml:space="preserve">Paper/Pulp</w:t>
            </w:r>
          </w:p>
        </w:tc>
        <w:tc>
          <w:tcPr/>
          <w:p>
            <w:pPr>
              <w:pStyle w:val="Compact"/>
              <w:jc w:val="left"/>
            </w:pPr>
            <w:r>
              <w:t xml:space="preserve">Virgin Production</w:t>
            </w:r>
          </w:p>
        </w:tc>
        <w:tc>
          <w:tcPr/>
          <w:p>
            <w:pPr>
              <w:pStyle w:val="Compact"/>
              <w:jc w:val="left"/>
            </w:pPr>
            <w:r>
              <w:t xml:space="preserve">0.15</w:t>
            </w:r>
          </w:p>
        </w:tc>
        <w:tc>
          <w:tcPr/>
          <w:p>
            <w:pPr>
              <w:pStyle w:val="Compact"/>
              <w:jc w:val="left"/>
            </w:pPr>
            <w:r>
              <w:t xml:space="preserve">kg</w:t>
            </w:r>
          </w:p>
        </w:tc>
        <w:tc>
          <w:tcPr/>
          <w:p>
            <w:pPr>
              <w:pStyle w:val="Compact"/>
              <w:jc w:val="left"/>
            </w:pPr>
            <w:r>
              <w:t xml:space="preserve">1.00</w:t>
            </w:r>
          </w:p>
        </w:tc>
        <w:tc>
          <w:tcPr/>
          <w:p>
            <w:pPr>
              <w:pStyle w:val="Compact"/>
              <w:jc w:val="left"/>
            </w:pPr>
            <w:r>
              <w:t xml:space="preserve">0.150</w:t>
            </w:r>
          </w:p>
        </w:tc>
      </w:tr>
      <w:tr>
        <w:tc>
          <w:tcPr>
            <w:gridSpan w:val="7"/>
          </w:tcPr>
          <w:p>
            <w:pPr>
              <w:pStyle w:val="Compact"/>
              <w:jc w:val="right"/>
            </w:pPr>
            <w:r>
              <w:rPr>
                <w:bCs/>
                <w:b/>
              </w:rPr>
              <w:t xml:space="preserve">Subtotal Material Acquisition &amp; Pre-processing:</w:t>
            </w:r>
          </w:p>
        </w:tc>
        <w:tc>
          <w:tcPr/>
          <w:p>
            <w:pPr>
              <w:pStyle w:val="Compact"/>
              <w:jc w:val="left"/>
            </w:pPr>
            <w:r>
              <w:rPr>
                <w:bCs/>
                <w:b/>
              </w:rPr>
              <w:t xml:space="preserve">5.428</w:t>
            </w:r>
          </w:p>
        </w:tc>
      </w:tr>
    </w:tbl>
    <w:p>
      <w:pPr>
        <w:pStyle w:val="BodyText"/>
      </w:pPr>
      <w:r>
        <w:t xml:space="preserve">The total carbon impact from material acquisition and pre-processing for 1.0 unit of lzdjqrzumt is approximately</w:t>
      </w:r>
      <w:r>
        <w:t xml:space="preserve"> </w:t>
      </w:r>
      <w:r>
        <w:rPr>
          <w:bCs/>
          <w:b/>
        </w:rPr>
        <w:t xml:space="preserve">5.428 kg CO2e</w:t>
      </w:r>
      <w:r>
        <w:t xml:space="preserve">. Aluminium alloy and virgin ABS plastic are significant contributors due to their relatively high emission factors per kilogram.</w:t>
      </w:r>
    </w:p>
    <w:bookmarkEnd w:id="31"/>
    <w:bookmarkStart w:id="32" w:name="production-manufacturing-phase-scope-2"/>
    <w:p>
      <w:pPr>
        <w:pStyle w:val="Heading3"/>
      </w:pPr>
      <w:r>
        <w:t xml:space="preserve">5.2. Production (Manufacturing) Phase (Scope 2)</w:t>
      </w:r>
    </w:p>
    <w:p>
      <w:pPr>
        <w:pStyle w:val="FirstParagraph"/>
      </w:pPr>
      <w:r>
        <w:t xml:space="preserve">The production phase occurs in China. The energy consumption and renewable energy usage are critical factors for calculating emissions in this stage.</w:t>
      </w:r>
    </w:p>
    <w:p>
      <w:pPr>
        <w:numPr>
          <w:ilvl w:val="0"/>
          <w:numId w:val="1002"/>
        </w:numPr>
        <w:pStyle w:val="Compact"/>
      </w:pPr>
      <w:r>
        <w:rPr>
          <w:bCs/>
          <w:b/>
        </w:rPr>
        <w:t xml:space="preserve">Energy Intensity:</w:t>
      </w:r>
      <w:r>
        <w:t xml:space="preserve"> </w:t>
      </w:r>
      <w:r>
        <w:t xml:space="preserve">10 kWh/unit [cite: kjmtzggrww]</w:t>
      </w:r>
    </w:p>
    <w:p>
      <w:pPr>
        <w:numPr>
          <w:ilvl w:val="0"/>
          <w:numId w:val="1002"/>
        </w:numPr>
        <w:pStyle w:val="Compact"/>
      </w:pPr>
      <w:r>
        <w:rPr>
          <w:bCs/>
          <w:b/>
        </w:rPr>
        <w:t xml:space="preserve">Renewable Energy Usage:</w:t>
      </w:r>
      <w:r>
        <w:t xml:space="preserve"> </w:t>
      </w:r>
      <w:r>
        <w:t xml:space="preserve">30% [cite: ypdphrrmkn]</w:t>
      </w:r>
    </w:p>
    <w:p>
      <w:pPr>
        <w:numPr>
          <w:ilvl w:val="0"/>
          <w:numId w:val="1002"/>
        </w:numPr>
        <w:pStyle w:val="Compact"/>
      </w:pPr>
      <w:r>
        <w:rPr>
          <w:bCs/>
          <w:b/>
        </w:rPr>
        <w:t xml:space="preserve">Non-renewable energy consumption:</w:t>
      </w:r>
      <w:r>
        <w:t xml:space="preserve"> </w:t>
      </w:r>
      <w:r>
        <w:t xml:space="preserve">10 kWh/unit * (1 - 0.30) = 7 kWh/unit</w:t>
      </w:r>
    </w:p>
    <w:p>
      <w:pPr>
        <w:numPr>
          <w:ilvl w:val="0"/>
          <w:numId w:val="1002"/>
        </w:numPr>
        <w:pStyle w:val="Compact"/>
      </w:pPr>
      <w:r>
        <w:rPr>
          <w:bCs/>
          <w:b/>
        </w:rPr>
        <w:t xml:space="preserve">China Grid Electricity Emission Factor:</w:t>
      </w:r>
      <w:r>
        <w:t xml:space="preserve"> </w:t>
      </w:r>
      <w:r>
        <w:t xml:space="preserve">Approximately 0.58 kg CO2e/kWh (average for 2022-2023).</w:t>
      </w:r>
    </w:p>
    <w:p>
      <w:pPr>
        <w:numPr>
          <w:ilvl w:val="0"/>
          <w:numId w:val="1002"/>
        </w:numPr>
        <w:pStyle w:val="Compact"/>
      </w:pPr>
      <w:r>
        <w:rPr>
          <w:bCs/>
          <w:b/>
        </w:rPr>
        <w:t xml:space="preserve">Renewable Energy Emission Factor:</w:t>
      </w:r>
      <w:r>
        <w:t xml:space="preserve"> </w:t>
      </w:r>
      <w:r>
        <w:t xml:space="preserve">0 kg CO2e/kWh (assuming certified renewable energy with zero upstream emissions allocated to its usage).</w:t>
      </w:r>
    </w:p>
    <w:p>
      <w:pPr>
        <w:numPr>
          <w:ilvl w:val="0"/>
          <w:numId w:val="1002"/>
        </w:numPr>
        <w:pStyle w:val="Compact"/>
      </w:pPr>
      <w:r>
        <w:rPr>
          <w:bCs/>
          <w:b/>
        </w:rPr>
        <w:t xml:space="preserve">Emissions from non-renewable electricity:</w:t>
      </w:r>
      <w:r>
        <w:t xml:space="preserve"> </w:t>
      </w:r>
      <w:r>
        <w:t xml:space="preserve">7 kWh/unit * 0.58 kg CO2e/kWh = 4.06 kg CO2e/unit</w:t>
      </w:r>
    </w:p>
    <w:p>
      <w:pPr>
        <w:numPr>
          <w:ilvl w:val="0"/>
          <w:numId w:val="1002"/>
        </w:numPr>
        <w:pStyle w:val="Compact"/>
      </w:pPr>
      <w:r>
        <w:rPr>
          <w:bCs/>
          <w:b/>
        </w:rPr>
        <w:t xml:space="preserve">Emissions from renewable electricity:</w:t>
      </w:r>
      <w:r>
        <w:t xml:space="preserve"> </w:t>
      </w:r>
      <w:r>
        <w:t xml:space="preserve">3 kWh/unit * 0 kg CO2e/kWh = 0.00 kg CO2e/unit</w:t>
      </w:r>
    </w:p>
    <w:p>
      <w:pPr>
        <w:pStyle w:val="FirstParagraph"/>
      </w:pPr>
      <w:r>
        <w:t xml:space="preserve">The total carbon impact from the production (manufacturing) phase is approximately</w:t>
      </w:r>
      <w:r>
        <w:t xml:space="preserve"> </w:t>
      </w:r>
      <w:r>
        <w:rPr>
          <w:bCs/>
          <w:b/>
        </w:rPr>
        <w:t xml:space="preserve">4.06 kg CO2e</w:t>
      </w:r>
      <w:r>
        <w:t xml:space="preserve"> </w:t>
      </w:r>
      <w:r>
        <w:t xml:space="preserve">per unit of lzdjqrzumt. This falls under Scope 2 emissions.</w:t>
      </w:r>
    </w:p>
    <w:bookmarkEnd w:id="32"/>
    <w:bookmarkStart w:id="33" w:name="Xc2323fbcefd5e9c04ce25d60e52da62e6b9cb44"/>
    <w:p>
      <w:pPr>
        <w:pStyle w:val="Heading3"/>
      </w:pPr>
      <w:r>
        <w:t xml:space="preserve">5.3. Upstream Transportation and Distribution (Scope 3, Category 4)</w:t>
      </w:r>
    </w:p>
    <w:p>
      <w:pPr>
        <w:pStyle w:val="FirstParagraph"/>
      </w:pPr>
      <w:r>
        <w:t xml:space="preserve">Transportation of raw materials and components from suppliers to the manufacturing facility in China, and then the finished product to European distribution centers, significantly contributes to the footprint.</w:t>
      </w:r>
    </w:p>
    <w:p>
      <w:pPr>
        <w:numPr>
          <w:ilvl w:val="0"/>
          <w:numId w:val="1003"/>
        </w:numPr>
        <w:pStyle w:val="Compact"/>
      </w:pPr>
      <w:r>
        <w:rPr>
          <w:bCs/>
          <w:b/>
        </w:rPr>
        <w:t xml:space="preserve">Total Product Weight (including packaging):</w:t>
      </w:r>
      <w:r>
        <w:t xml:space="preserve"> </w:t>
      </w:r>
      <w:r>
        <w:t xml:space="preserve">1.3 kg (0.0013 tonnes)</w:t>
      </w:r>
    </w:p>
    <w:p>
      <w:pPr>
        <w:numPr>
          <w:ilvl w:val="0"/>
          <w:numId w:val="1003"/>
        </w:numPr>
        <w:pStyle w:val="Compact"/>
      </w:pPr>
      <w:r>
        <w:rPr>
          <w:bCs/>
          <w:b/>
        </w:rPr>
        <w:t xml:space="preserve">Ocean Freight (China to Europe):</w:t>
      </w:r>
    </w:p>
    <w:p>
      <w:pPr>
        <w:numPr>
          <w:ilvl w:val="1"/>
          <w:numId w:val="1004"/>
        </w:numPr>
        <w:pStyle w:val="Compact"/>
      </w:pPr>
      <w:r>
        <w:t xml:space="preserve">Distance: 15,000 km [cite: lfrxoptptx]</w:t>
      </w:r>
    </w:p>
    <w:p>
      <w:pPr>
        <w:numPr>
          <w:ilvl w:val="1"/>
          <w:numId w:val="1004"/>
        </w:numPr>
        <w:pStyle w:val="Compact"/>
      </w:pPr>
      <w:r>
        <w:t xml:space="preserve">Emission Factor: 0.018 kg CO2e/tonne-km</w:t>
      </w:r>
    </w:p>
    <w:p>
      <w:pPr>
        <w:numPr>
          <w:ilvl w:val="1"/>
          <w:numId w:val="1004"/>
        </w:numPr>
        <w:pStyle w:val="Compact"/>
      </w:pPr>
      <w:r>
        <w:t xml:space="preserve">Emissions: 0.0013 tonnes * 15,000 km * 0.018 kg CO2e/tonne-km = 0.351 kg CO2e</w:t>
      </w:r>
    </w:p>
    <w:p>
      <w:pPr>
        <w:numPr>
          <w:ilvl w:val="0"/>
          <w:numId w:val="1003"/>
        </w:numPr>
        <w:pStyle w:val="Compact"/>
      </w:pPr>
      <w:r>
        <w:rPr>
          <w:bCs/>
          <w:b/>
        </w:rPr>
        <w:t xml:space="preserve">Road Freight (within Europe, to distribution center):</w:t>
      </w:r>
    </w:p>
    <w:p>
      <w:pPr>
        <w:numPr>
          <w:ilvl w:val="1"/>
          <w:numId w:val="1005"/>
        </w:numPr>
        <w:pStyle w:val="Compact"/>
      </w:pPr>
      <w:r>
        <w:t xml:space="preserve">Distance: 800 km [cite: lfrxoptptx]</w:t>
      </w:r>
    </w:p>
    <w:p>
      <w:pPr>
        <w:numPr>
          <w:ilvl w:val="1"/>
          <w:numId w:val="1005"/>
        </w:numPr>
        <w:pStyle w:val="Compact"/>
      </w:pPr>
      <w:r>
        <w:t xml:space="preserve">Emission Factor: 0.15 kg CO2e/tonne-km (heavy duty truck)</w:t>
      </w:r>
    </w:p>
    <w:p>
      <w:pPr>
        <w:numPr>
          <w:ilvl w:val="1"/>
          <w:numId w:val="1005"/>
        </w:numPr>
        <w:pStyle w:val="Compact"/>
      </w:pPr>
      <w:r>
        <w:t xml:space="preserve">Emissions: 0.0013 tonnes * 800 km * 0.15 kg CO2e/tonne-km = 0.156 kg CO2e</w:t>
      </w:r>
    </w:p>
    <w:p>
      <w:pPr>
        <w:pStyle w:val="FirstParagraph"/>
      </w:pPr>
      <w:r>
        <w:t xml:space="preserve">The total carbon impact from upstream transportation and distribution is approximately</w:t>
      </w:r>
      <w:r>
        <w:t xml:space="preserve"> </w:t>
      </w:r>
      <w:r>
        <w:rPr>
          <w:bCs/>
          <w:b/>
        </w:rPr>
        <w:t xml:space="preserve">0.507 kg CO2e</w:t>
      </w:r>
      <w:r>
        <w:t xml:space="preserve"> </w:t>
      </w:r>
      <w:r>
        <w:t xml:space="preserve">per unit.</w:t>
      </w:r>
    </w:p>
    <w:bookmarkEnd w:id="33"/>
    <w:bookmarkStart w:id="34" w:name="Xf9b68c5981fa37641de7e1a2305ac104ef40ea6"/>
    <w:p>
      <w:pPr>
        <w:pStyle w:val="Heading3"/>
      </w:pPr>
      <w:r>
        <w:t xml:space="preserve">5.4. Downstream Transportation and Distribution (Last-Mile Delivery) (Scope 3, Category 9)</w:t>
      </w:r>
    </w:p>
    <w:p>
      <w:pPr>
        <w:pStyle w:val="FirstParagraph"/>
      </w:pPr>
      <w:r>
        <w:t xml:space="preserve">This covers the transportation of the product from the distribution center to the end-consumer.</w:t>
      </w:r>
    </w:p>
    <w:p>
      <w:pPr>
        <w:numPr>
          <w:ilvl w:val="0"/>
          <w:numId w:val="1006"/>
        </w:numPr>
        <w:pStyle w:val="Compact"/>
      </w:pPr>
      <w:r>
        <w:rPr>
          <w:bCs/>
          <w:b/>
        </w:rPr>
        <w:t xml:space="preserve">Last-Mile Delivery Channel:</w:t>
      </w:r>
      <w:r>
        <w:t xml:space="preserve"> </w:t>
      </w:r>
      <w:r>
        <w:t xml:space="preserve">Road Freight (Heavy Duty Truck) [cite: Delivery Type]</w:t>
      </w:r>
    </w:p>
    <w:p>
      <w:pPr>
        <w:numPr>
          <w:ilvl w:val="0"/>
          <w:numId w:val="1006"/>
        </w:numPr>
        <w:pStyle w:val="Compact"/>
      </w:pPr>
      <w:r>
        <w:rPr>
          <w:bCs/>
          <w:b/>
        </w:rPr>
        <w:t xml:space="preserve">Assumed Average Last-Mile Distance:</w:t>
      </w:r>
      <w:r>
        <w:t xml:space="preserve"> </w:t>
      </w:r>
      <w:r>
        <w:t xml:space="preserve">200 km (typical for regional distribution)</w:t>
      </w:r>
    </w:p>
    <w:p>
      <w:pPr>
        <w:numPr>
          <w:ilvl w:val="0"/>
          <w:numId w:val="1006"/>
        </w:numPr>
        <w:pStyle w:val="Compact"/>
      </w:pPr>
      <w:r>
        <w:rPr>
          <w:bCs/>
          <w:b/>
        </w:rPr>
        <w:t xml:space="preserve">Total Product Weight (including packaging):</w:t>
      </w:r>
      <w:r>
        <w:t xml:space="preserve"> </w:t>
      </w:r>
      <w:r>
        <w:t xml:space="preserve">1.3 kg (0.0013 tonnes)</w:t>
      </w:r>
    </w:p>
    <w:p>
      <w:pPr>
        <w:numPr>
          <w:ilvl w:val="0"/>
          <w:numId w:val="1006"/>
        </w:numPr>
        <w:pStyle w:val="Compact"/>
      </w:pPr>
      <w:r>
        <w:rPr>
          <w:bCs/>
          <w:b/>
        </w:rPr>
        <w:t xml:space="preserve">Emission Factor:</w:t>
      </w:r>
      <w:r>
        <w:t xml:space="preserve"> </w:t>
      </w:r>
      <w:r>
        <w:t xml:space="preserve">0.15 kg CO2e/tonne-km</w:t>
      </w:r>
    </w:p>
    <w:p>
      <w:pPr>
        <w:numPr>
          <w:ilvl w:val="0"/>
          <w:numId w:val="1006"/>
        </w:numPr>
        <w:pStyle w:val="Compact"/>
      </w:pPr>
      <w:r>
        <w:rPr>
          <w:bCs/>
          <w:b/>
        </w:rPr>
        <w:t xml:space="preserve">Emissions:</w:t>
      </w:r>
      <w:r>
        <w:t xml:space="preserve"> </w:t>
      </w:r>
      <w:r>
        <w:t xml:space="preserve">0.0013 tonnes * 200 km * 0.15 kg CO2e/tonne-km = 0.039 kg CO2e</w:t>
      </w:r>
    </w:p>
    <w:p>
      <w:pPr>
        <w:pStyle w:val="FirstParagraph"/>
      </w:pPr>
      <w:r>
        <w:t xml:space="preserve">The total carbon impact from last-mile delivery is approximately</w:t>
      </w:r>
      <w:r>
        <w:t xml:space="preserve"> </w:t>
      </w:r>
      <w:r>
        <w:rPr>
          <w:bCs/>
          <w:b/>
        </w:rPr>
        <w:t xml:space="preserve">0.039 kg CO2e</w:t>
      </w:r>
      <w:r>
        <w:t xml:space="preserve"> </w:t>
      </w:r>
      <w:r>
        <w:t xml:space="preserve">per unit.</w:t>
      </w:r>
    </w:p>
    <w:bookmarkEnd w:id="34"/>
    <w:bookmarkStart w:id="35" w:name="use-phase-scope-3-category-11"/>
    <w:p>
      <w:pPr>
        <w:pStyle w:val="Heading3"/>
      </w:pPr>
      <w:r>
        <w:t xml:space="preserve">5.5. Use Phase (Scope 3, Category 11)</w:t>
      </w:r>
    </w:p>
    <w:p>
      <w:pPr>
        <w:pStyle w:val="FirstParagraph"/>
      </w:pPr>
      <w:r>
        <w:t xml:space="preserve">The energy consumed by the product during its operational lifespan significantly contributes to its overall footprint, particularly for energy-consuming devices.</w:t>
      </w:r>
    </w:p>
    <w:p>
      <w:pPr>
        <w:numPr>
          <w:ilvl w:val="0"/>
          <w:numId w:val="1007"/>
        </w:numPr>
        <w:pStyle w:val="Compact"/>
      </w:pPr>
      <w:r>
        <w:rPr>
          <w:bCs/>
          <w:b/>
        </w:rPr>
        <w:t xml:space="preserve">Product Lifespan:</w:t>
      </w:r>
      <w:r>
        <w:t xml:space="preserve"> </w:t>
      </w:r>
      <w:r>
        <w:t xml:space="preserve">5 years [cite: kwuxdugozm]</w:t>
      </w:r>
    </w:p>
    <w:p>
      <w:pPr>
        <w:numPr>
          <w:ilvl w:val="0"/>
          <w:numId w:val="1007"/>
        </w:numPr>
        <w:pStyle w:val="Compact"/>
      </w:pPr>
      <w:r>
        <w:rPr>
          <w:bCs/>
          <w:b/>
        </w:rPr>
        <w:t xml:space="preserve">Energy Consumption in Use:</w:t>
      </w:r>
      <w:r>
        <w:t xml:space="preserve"> </w:t>
      </w:r>
      <w:r>
        <w:t xml:space="preserve">20 kWh/year [cite: ygxsilijup]</w:t>
      </w:r>
    </w:p>
    <w:p>
      <w:pPr>
        <w:numPr>
          <w:ilvl w:val="0"/>
          <w:numId w:val="1007"/>
        </w:numPr>
        <w:pStyle w:val="Compact"/>
      </w:pPr>
      <w:r>
        <w:rPr>
          <w:bCs/>
          <w:b/>
        </w:rPr>
        <w:t xml:space="preserve">Total Energy Consumption (over lifespan):</w:t>
      </w:r>
      <w:r>
        <w:t xml:space="preserve"> </w:t>
      </w:r>
      <w:r>
        <w:t xml:space="preserve">20 kWh/year * 5 years = 100 kWh/unit</w:t>
      </w:r>
    </w:p>
    <w:p>
      <w:pPr>
        <w:numPr>
          <w:ilvl w:val="0"/>
          <w:numId w:val="1007"/>
        </w:numPr>
        <w:pStyle w:val="Compact"/>
      </w:pPr>
      <w:r>
        <w:rPr>
          <w:bCs/>
          <w:b/>
        </w:rPr>
        <w:t xml:space="preserve">European Grid Electricity Emission Factor (for Use Phase):</w:t>
      </w:r>
      <w:r>
        <w:t xml:space="preserve"> </w:t>
      </w:r>
      <w:r>
        <w:t xml:space="preserve">Approximately 0.27 kg CO2e/kWh (average for EU-27)</w:t>
      </w:r>
    </w:p>
    <w:p>
      <w:pPr>
        <w:numPr>
          <w:ilvl w:val="0"/>
          <w:numId w:val="1007"/>
        </w:numPr>
        <w:pStyle w:val="Compact"/>
      </w:pPr>
      <w:r>
        <w:rPr>
          <w:bCs/>
          <w:b/>
        </w:rPr>
        <w:t xml:space="preserve">Emissions:</w:t>
      </w:r>
      <w:r>
        <w:t xml:space="preserve"> </w:t>
      </w:r>
      <w:r>
        <w:t xml:space="preserve">100 kWh/unit * 0.27 kg CO2e/kWh = 27.00 kg CO2e/unit</w:t>
      </w:r>
    </w:p>
    <w:p>
      <w:pPr>
        <w:pStyle w:val="FirstParagraph"/>
      </w:pPr>
      <w:r>
        <w:t xml:space="preserve">The total carbon impact from the use phase is approximately</w:t>
      </w:r>
      <w:r>
        <w:t xml:space="preserve"> </w:t>
      </w:r>
      <w:r>
        <w:rPr>
          <w:bCs/>
          <w:b/>
        </w:rPr>
        <w:t xml:space="preserve">27.00 kg CO2e</w:t>
      </w:r>
      <w:r>
        <w:t xml:space="preserve"> </w:t>
      </w:r>
      <w:r>
        <w:t xml:space="preserve">per unit of lzdjqrzumt, representing a major hotspot.</w:t>
      </w:r>
    </w:p>
    <w:bookmarkEnd w:id="35"/>
    <w:bookmarkStart w:id="36" w:name="Xd8b0cc1007d2f3c714880ecf2ca12af4f909441"/>
    <w:p>
      <w:pPr>
        <w:pStyle w:val="Heading3"/>
      </w:pPr>
      <w:r>
        <w:t xml:space="preserve">5.6. End-of-Life (EoL) Treatment (Scope 3, Category 12)</w:t>
      </w:r>
    </w:p>
    <w:p>
      <w:pPr>
        <w:pStyle w:val="FirstParagraph"/>
      </w:pPr>
      <w:r>
        <w:t xml:space="preserve">This phase considers the disposal and recycling of the product at the end of its useful life, taking into account established circular/take-back programs.</w:t>
      </w:r>
    </w:p>
    <w:p>
      <w:pPr>
        <w:numPr>
          <w:ilvl w:val="0"/>
          <w:numId w:val="1008"/>
        </w:numPr>
        <w:pStyle w:val="Compact"/>
      </w:pPr>
      <w:r>
        <w:rPr>
          <w:bCs/>
          <w:b/>
        </w:rPr>
        <w:t xml:space="preserve">Recyclability Percentage:</w:t>
      </w:r>
      <w:r>
        <w:t xml:space="preserve"> </w:t>
      </w:r>
      <w:r>
        <w:t xml:space="preserve">70% [cite: lwimmsivtj]</w:t>
      </w:r>
    </w:p>
    <w:p>
      <w:pPr>
        <w:numPr>
          <w:ilvl w:val="0"/>
          <w:numId w:val="1008"/>
        </w:numPr>
        <w:pStyle w:val="Compact"/>
      </w:pPr>
      <w:r>
        <w:rPr>
          <w:bCs/>
          <w:b/>
        </w:rPr>
        <w:t xml:space="preserve">Circular/Take-back Programs:</w:t>
      </w:r>
      <w:r>
        <w:t xml:space="preserve"> </w:t>
      </w:r>
      <w:r>
        <w:t xml:space="preserve">Established local collection points in key European markets, resulting in improved material recovery rates. [cite: zghgpqkzle]</w:t>
      </w:r>
    </w:p>
    <w:p>
      <w:pPr>
        <w:numPr>
          <w:ilvl w:val="0"/>
          <w:numId w:val="1008"/>
        </w:numPr>
        <w:pStyle w:val="Compact"/>
      </w:pPr>
      <w:r>
        <w:rPr>
          <w:bCs/>
          <w:b/>
        </w:rPr>
        <w:t xml:space="preserve">Product Weight (excluding packaging):</w:t>
      </w:r>
      <w:r>
        <w:t xml:space="preserve"> </w:t>
      </w:r>
      <w:r>
        <w:t xml:space="preserve">1.15 kg (total BOM weight 1.3 kg - 0.15 kg packaging)</w:t>
      </w:r>
    </w:p>
    <w:p>
      <w:pPr>
        <w:numPr>
          <w:ilvl w:val="0"/>
          <w:numId w:val="1008"/>
        </w:numPr>
        <w:pStyle w:val="Compact"/>
      </w:pPr>
      <w:r>
        <w:rPr>
          <w:bCs/>
          <w:b/>
        </w:rPr>
        <w:t xml:space="preserve">Recycled Portion:</w:t>
      </w:r>
      <w:r>
        <w:t xml:space="preserve"> </w:t>
      </w:r>
      <w:r>
        <w:t xml:space="preserve">1.15 kg * 0.70 = 0.805 kg</w:t>
      </w:r>
    </w:p>
    <w:p>
      <w:pPr>
        <w:numPr>
          <w:ilvl w:val="0"/>
          <w:numId w:val="1008"/>
        </w:numPr>
        <w:pStyle w:val="Compact"/>
      </w:pPr>
      <w:r>
        <w:rPr>
          <w:bCs/>
          <w:b/>
        </w:rPr>
        <w:t xml:space="preserve">Disposed Portion (landfill):</w:t>
      </w:r>
      <w:r>
        <w:t xml:space="preserve"> </w:t>
      </w:r>
      <w:r>
        <w:t xml:space="preserve">1.15 kg * 0.30 = 0.345 kg</w:t>
      </w:r>
    </w:p>
    <w:p>
      <w:pPr>
        <w:numPr>
          <w:ilvl w:val="0"/>
          <w:numId w:val="1008"/>
        </w:numPr>
        <w:pStyle w:val="Compact"/>
      </w:pPr>
      <w:r>
        <w:rPr>
          <w:bCs/>
          <w:b/>
        </w:rPr>
        <w:t xml:space="preserve">Landfill Emission Factor (Mixed Waste):</w:t>
      </w:r>
      <w:r>
        <w:t xml:space="preserve"> </w:t>
      </w:r>
      <w:r>
        <w:t xml:space="preserve">0.033 kg CO2e/kg</w:t>
      </w:r>
    </w:p>
    <w:p>
      <w:pPr>
        <w:numPr>
          <w:ilvl w:val="0"/>
          <w:numId w:val="1008"/>
        </w:numPr>
        <w:pStyle w:val="Compact"/>
      </w:pPr>
      <w:r>
        <w:rPr>
          <w:bCs/>
          <w:b/>
        </w:rPr>
        <w:t xml:space="preserve">Emissions from Landfill:</w:t>
      </w:r>
      <w:r>
        <w:t xml:space="preserve"> </w:t>
      </w:r>
      <w:r>
        <w:t xml:space="preserve">0.345 kg * 0.033 kg CO2e/kg = 0.011 kg CO2e</w:t>
      </w:r>
    </w:p>
    <w:p>
      <w:pPr>
        <w:pStyle w:val="FirstParagraph"/>
      </w:pPr>
      <w:r>
        <w:rPr>
          <w:bCs/>
          <w:b/>
        </w:rPr>
        <w:t xml:space="preserve">Avoided Emissions from Recycling:</w:t>
      </w:r>
      <w:r>
        <w:t xml:space="preserve"> </w:t>
      </w:r>
      <w:r>
        <w:t xml:space="preserve">To account for the benefit of recycling, avoided emissions from virgin material production are calculated based on the recyclable portion of the product. Based on the simulated BOM, we approximate the avoided emissions from key materials:</w:t>
      </w:r>
    </w:p>
    <w:p>
      <w:pPr>
        <w:numPr>
          <w:ilvl w:val="0"/>
          <w:numId w:val="1009"/>
        </w:numPr>
        <w:pStyle w:val="Compact"/>
      </w:pPr>
      <w:r>
        <w:rPr>
          <w:bCs/>
          <w:b/>
        </w:rPr>
        <w:t xml:space="preserve">Avoided Aluminium Emissions:</w:t>
      </w:r>
      <w:r>
        <w:t xml:space="preserve"> </w:t>
      </w:r>
      <w:r>
        <w:t xml:space="preserve">0.20 kg (Al in product) * 0.70 (recyclability) * 13.0 kg CO2e/kg (savings) = 1.82 kg CO2e</w:t>
      </w:r>
    </w:p>
    <w:p>
      <w:pPr>
        <w:numPr>
          <w:ilvl w:val="0"/>
          <w:numId w:val="1009"/>
        </w:numPr>
        <w:pStyle w:val="Compact"/>
      </w:pPr>
      <w:r>
        <w:rPr>
          <w:bCs/>
          <w:b/>
        </w:rPr>
        <w:t xml:space="preserve">Avoided Steel Emissions:</w:t>
      </w:r>
      <w:r>
        <w:t xml:space="preserve"> </w:t>
      </w:r>
      <w:r>
        <w:t xml:space="preserve">0.50 kg (Steel in product) * 0.70 (recyclability) * 1.787 kg CO2e/kg (savings) = 0.625 kg CO2e</w:t>
      </w:r>
    </w:p>
    <w:p>
      <w:pPr>
        <w:numPr>
          <w:ilvl w:val="0"/>
          <w:numId w:val="1009"/>
        </w:numPr>
        <w:pStyle w:val="Compact"/>
      </w:pPr>
      <w:r>
        <w:rPr>
          <w:bCs/>
          <w:b/>
        </w:rPr>
        <w:t xml:space="preserve">Avoided ABS Plastic Emissions:</w:t>
      </w:r>
      <w:r>
        <w:t xml:space="preserve"> </w:t>
      </w:r>
      <w:r>
        <w:t xml:space="preserve">0.30 kg (ABS in product) * 0.70 (recyclability) * 1.08 kg CO2e/kg (savings) = 0.227 kg CO2e</w:t>
      </w:r>
    </w:p>
    <w:p>
      <w:pPr>
        <w:numPr>
          <w:ilvl w:val="0"/>
          <w:numId w:val="1009"/>
        </w:numPr>
        <w:pStyle w:val="Compact"/>
      </w:pPr>
      <w:r>
        <w:rPr>
          <w:bCs/>
          <w:b/>
        </w:rPr>
        <w:t xml:space="preserve">Total Avoided Emissions from Recycling:</w:t>
      </w:r>
      <w:r>
        <w:t xml:space="preserve"> </w:t>
      </w:r>
      <w:r>
        <w:t xml:space="preserve">1.82 + 0.625 + 0.227 = 2.672 kg CO2e</w:t>
      </w:r>
    </w:p>
    <w:p>
      <w:pPr>
        <w:pStyle w:val="FirstParagraph"/>
      </w:pPr>
      <w:r>
        <w:t xml:space="preserve">The net carbon impact from the End-of-Life phase is 0.011 kg CO2e (landfill burden) - 2.672 kg CO2e (recycling benefit) =</w:t>
      </w:r>
      <w:r>
        <w:t xml:space="preserve"> </w:t>
      </w:r>
      <w:r>
        <w:rPr>
          <w:bCs/>
          <w:b/>
        </w:rPr>
        <w:t xml:space="preserve">-2.661 kg CO2e</w:t>
      </w:r>
      <w:r>
        <w:t xml:space="preserve">. The negative value indicates a net carbon saving due to circular economy practices.</w:t>
      </w:r>
    </w:p>
    <w:p>
      <w:r>
        <w:pict>
          <v:rect style="width:0;height:1.5pt" o:hralign="center" o:hrstd="t" o:hr="t"/>
        </w:pict>
      </w:r>
    </w:p>
    <w:bookmarkEnd w:id="36"/>
    <w:bookmarkEnd w:id="37"/>
    <w:bookmarkStart w:id="39" w:name="X8d8cef24c5147bfa1e623169da7c6bb90f522e1"/>
    <w:p>
      <w:pPr>
        <w:pStyle w:val="Heading2"/>
      </w:pPr>
      <w:r>
        <w:t xml:space="preserve">6. Step 4: Calculate Emissions (Summary by Scope)</w:t>
      </w:r>
    </w:p>
    <w:p>
      <w:pPr>
        <w:pStyle w:val="FirstParagraph"/>
      </w:pPr>
      <w:r>
        <w:t xml:space="preserve">The total Product Carbon Footprint for one functional unit of lzdjqrzumt is summarized below, categorized by GHG Protocol Scopes.</w:t>
      </w:r>
    </w:p>
    <w:tbl>
      <w:tblPr>
        <w:tblStyle w:val="Table"/>
        <w:tblW w:type="auto" w:w="0"/>
        <w:tblLook w:firstRow="1" w:lastRow="1" w:firstColumn="0" w:lastColumn="0" w:noHBand="0" w:noVBand="0" w:val="0020"/>
        <w:jc w:val="start"/>
      </w:tblPr>
      <w:tblGrid>
        <w:gridCol w:w="1980"/>
        <w:gridCol w:w="1980"/>
        <w:gridCol w:w="1980"/>
        <w:gridCol w:w="198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 CO2e/unit)</w:t>
            </w:r>
          </w:p>
        </w:tc>
        <w:tc>
          <w:tcPr/>
          <w:p>
            <w:pPr>
              <w:pStyle w:val="Compact"/>
              <w:jc w:val="left"/>
            </w:pPr>
            <w:r>
              <w:t xml:space="preserve">Notes</w:t>
            </w:r>
          </w:p>
        </w:tc>
      </w:tr>
      <w:tr>
        <w:tc>
          <w:tcPr/>
          <w:p>
            <w:pPr>
              <w:pStyle w:val="Compact"/>
              <w:jc w:val="left"/>
            </w:pPr>
            <w:r>
              <w:t xml:space="preserve">Material Acquisition &amp; Pre-processing</w:t>
            </w:r>
          </w:p>
        </w:tc>
        <w:tc>
          <w:tcPr/>
          <w:p>
            <w:pPr>
              <w:pStyle w:val="Compact"/>
              <w:jc w:val="left"/>
            </w:pPr>
            <w:r>
              <w:t xml:space="preserve">Scope 3, Category 1</w:t>
            </w:r>
          </w:p>
        </w:tc>
        <w:tc>
          <w:tcPr/>
          <w:p>
            <w:pPr>
              <w:pStyle w:val="Compact"/>
              <w:jc w:val="left"/>
            </w:pPr>
            <w:r>
              <w:t xml:space="preserve">5.428</w:t>
            </w:r>
          </w:p>
        </w:tc>
        <w:tc>
          <w:tcPr/>
          <w:p>
            <w:pPr>
              <w:pStyle w:val="Compact"/>
              <w:jc w:val="left"/>
            </w:pPr>
            <w:r>
              <w:t xml:space="preserve">Raw materials, components (e.g., Al, Steel, ABS, PCB, Copper, Packaging)</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4.060</w:t>
            </w:r>
          </w:p>
        </w:tc>
        <w:tc>
          <w:tcPr/>
          <w:p>
            <w:pPr>
              <w:pStyle w:val="Compact"/>
              <w:jc w:val="left"/>
            </w:pPr>
            <w:r>
              <w:t xml:space="preserve">Purchased electricity for manufacturing (adjusted for renewable energy use)</w:t>
            </w:r>
          </w:p>
        </w:tc>
      </w:tr>
      <w:tr>
        <w:tc>
          <w:tcPr/>
          <w:p>
            <w:pPr>
              <w:pStyle w:val="Compact"/>
              <w:jc w:val="left"/>
            </w:pPr>
            <w:r>
              <w:t xml:space="preserve">Upstream Transportation &amp; Distribution</w:t>
            </w:r>
          </w:p>
        </w:tc>
        <w:tc>
          <w:tcPr/>
          <w:p>
            <w:pPr>
              <w:pStyle w:val="Compact"/>
              <w:jc w:val="left"/>
            </w:pPr>
            <w:r>
              <w:t xml:space="preserve">Scope 3, Category 4</w:t>
            </w:r>
          </w:p>
        </w:tc>
        <w:tc>
          <w:tcPr/>
          <w:p>
            <w:pPr>
              <w:pStyle w:val="Compact"/>
              <w:jc w:val="left"/>
            </w:pPr>
            <w:r>
              <w:t xml:space="preserve">0.507</w:t>
            </w:r>
          </w:p>
        </w:tc>
        <w:tc>
          <w:tcPr/>
          <w:p>
            <w:pPr>
              <w:pStyle w:val="Compact"/>
              <w:jc w:val="left"/>
            </w:pPr>
            <w:r>
              <w:t xml:space="preserve">Ocean and Road freight of materials and finished product to Europe</w:t>
            </w:r>
          </w:p>
        </w:tc>
      </w:tr>
      <w:tr>
        <w:tc>
          <w:tcPr/>
          <w:p>
            <w:pPr>
              <w:pStyle w:val="Compact"/>
              <w:jc w:val="left"/>
            </w:pPr>
            <w:r>
              <w:t xml:space="preserve">Downstream Transportation &amp; Distribution (Last-Mile)</w:t>
            </w:r>
          </w:p>
        </w:tc>
        <w:tc>
          <w:tcPr/>
          <w:p>
            <w:pPr>
              <w:pStyle w:val="Compact"/>
              <w:jc w:val="left"/>
            </w:pPr>
            <w:r>
              <w:t xml:space="preserve">Scope 3, Category 9</w:t>
            </w:r>
          </w:p>
        </w:tc>
        <w:tc>
          <w:tcPr/>
          <w:p>
            <w:pPr>
              <w:pStyle w:val="Compact"/>
              <w:jc w:val="left"/>
            </w:pPr>
            <w:r>
              <w:t xml:space="preserve">0.039</w:t>
            </w:r>
          </w:p>
        </w:tc>
        <w:tc>
          <w:tcPr/>
          <w:p>
            <w:pPr>
              <w:pStyle w:val="Compact"/>
              <w:jc w:val="left"/>
            </w:pPr>
            <w:r>
              <w:t xml:space="preserve">Road freight to end-consumer</w:t>
            </w:r>
          </w:p>
        </w:tc>
      </w:tr>
      <w:tr>
        <w:tc>
          <w:tcPr/>
          <w:p>
            <w:pPr>
              <w:pStyle w:val="Compact"/>
              <w:jc w:val="left"/>
            </w:pPr>
            <w:r>
              <w:t xml:space="preserve">Use Phase</w:t>
            </w:r>
          </w:p>
        </w:tc>
        <w:tc>
          <w:tcPr/>
          <w:p>
            <w:pPr>
              <w:pStyle w:val="Compact"/>
              <w:jc w:val="left"/>
            </w:pPr>
            <w:r>
              <w:t xml:space="preserve">Scope 3, Category 11</w:t>
            </w:r>
          </w:p>
        </w:tc>
        <w:tc>
          <w:tcPr/>
          <w:p>
            <w:pPr>
              <w:pStyle w:val="Compact"/>
              <w:jc w:val="left"/>
            </w:pPr>
            <w:r>
              <w:t xml:space="preserve">27.000</w:t>
            </w:r>
          </w:p>
        </w:tc>
        <w:tc>
          <w:tcPr/>
          <w:p>
            <w:pPr>
              <w:pStyle w:val="Compact"/>
              <w:jc w:val="left"/>
            </w:pPr>
            <w:r>
              <w:t xml:space="preserve">Electricity consumption during product lifespan</w:t>
            </w:r>
          </w:p>
        </w:tc>
      </w:tr>
      <w:tr>
        <w:tc>
          <w:tcPr/>
          <w:p>
            <w:pPr>
              <w:pStyle w:val="Compact"/>
              <w:jc w:val="left"/>
            </w:pPr>
            <w:r>
              <w:t xml:space="preserve">End-of-Life Treatment</w:t>
            </w:r>
          </w:p>
        </w:tc>
        <w:tc>
          <w:tcPr/>
          <w:p>
            <w:pPr>
              <w:pStyle w:val="Compact"/>
              <w:jc w:val="left"/>
            </w:pPr>
            <w:r>
              <w:t xml:space="preserve">Scope 3, Category 12</w:t>
            </w:r>
          </w:p>
        </w:tc>
        <w:tc>
          <w:tcPr/>
          <w:p>
            <w:pPr>
              <w:pStyle w:val="Compact"/>
              <w:jc w:val="left"/>
            </w:pPr>
            <w:r>
              <w:t xml:space="preserve">-2.661</w:t>
            </w:r>
          </w:p>
        </w:tc>
        <w:tc>
          <w:tcPr/>
          <w:p>
            <w:pPr>
              <w:pStyle w:val="Compact"/>
              <w:jc w:val="left"/>
            </w:pPr>
            <w:r>
              <w:t xml:space="preserve">Net impact from landfill and avoided emissions from recycling</w:t>
            </w:r>
          </w:p>
        </w:tc>
      </w:tr>
      <w:tr>
        <w:tc>
          <w:tcPr>
            <w:gridSpan w:val="2"/>
          </w:tcPr>
          <w:p>
            <w:pPr>
              <w:pStyle w:val="Compact"/>
              <w:jc w:val="right"/>
            </w:pPr>
            <w:r>
              <w:rPr>
                <w:bCs/>
                <w:b/>
              </w:rPr>
              <w:t xml:space="preserve">Total Product Carbon Footprint (Cradle-to-Grave):</w:t>
            </w:r>
          </w:p>
        </w:tc>
        <w:tc>
          <w:tcPr/>
          <w:p>
            <w:pPr>
              <w:pStyle w:val="Compact"/>
              <w:jc w:val="left"/>
            </w:pPr>
            <w:r>
              <w:rPr>
                <w:bCs/>
                <w:b/>
              </w:rPr>
              <w:t xml:space="preserve">34.373 kg CO2e/unit</w:t>
            </w:r>
          </w:p>
        </w:tc>
        <w:tc>
          <w:tcPr/>
          <w:p>
            <w:pPr>
              <w:pStyle w:val="Compact"/>
            </w:pPr>
          </w:p>
        </w:tc>
      </w:tr>
    </w:tbl>
    <w:bookmarkStart w:id="38" w:name="summary-by-ghg-protocol-scope"/>
    <w:p>
      <w:pPr>
        <w:pStyle w:val="Heading3"/>
      </w:pPr>
      <w:r>
        <w:t xml:space="preserve">Summary by GHG Protocol Scope:</w:t>
      </w:r>
    </w:p>
    <w:p>
      <w:pPr>
        <w:numPr>
          <w:ilvl w:val="0"/>
          <w:numId w:val="1010"/>
        </w:numPr>
        <w:pStyle w:val="Compact"/>
      </w:pPr>
      <w:r>
        <w:rPr>
          <w:bCs/>
          <w:b/>
        </w:rPr>
        <w:t xml:space="preserve">Scope 1 Emissions:</w:t>
      </w:r>
      <w:r>
        <w:t xml:space="preserve"> </w:t>
      </w:r>
      <w:r>
        <w:t xml:space="preserve">0.00 kg CO2e (No direct fuel combustion on-site for product manufacturing explicitly accounted for in parameters; any minor direct emissions assumed negligible or incorporated into energy intensity.)</w:t>
      </w:r>
    </w:p>
    <w:p>
      <w:pPr>
        <w:numPr>
          <w:ilvl w:val="0"/>
          <w:numId w:val="1010"/>
        </w:numPr>
        <w:pStyle w:val="Compact"/>
      </w:pPr>
      <w:r>
        <w:rPr>
          <w:bCs/>
          <w:b/>
        </w:rPr>
        <w:t xml:space="preserve">Scope 2 Emissions:</w:t>
      </w:r>
      <w:r>
        <w:t xml:space="preserve"> </w:t>
      </w:r>
      <w:r>
        <w:t xml:space="preserve">4.060 kg CO2e (Purchased electricity for manufacturing in China).</w:t>
      </w:r>
    </w:p>
    <w:p>
      <w:pPr>
        <w:numPr>
          <w:ilvl w:val="0"/>
          <w:numId w:val="1010"/>
        </w:numPr>
        <w:pStyle w:val="Compact"/>
      </w:pPr>
      <w:r>
        <w:rPr>
          <w:bCs/>
          <w:b/>
        </w:rPr>
        <w:t xml:space="preserve">Scope 3 Emissions:</w:t>
      </w:r>
      <w:r>
        <w:t xml:space="preserve"> </w:t>
      </w:r>
      <w:r>
        <w:t xml:space="preserve">5.428 (Category 1) + 0.507 (Category 4) + 0.039 (Category 9) + 27.000 (Category 11) - 2.661 (Category 12) = 30.313 kg CO2e.</w:t>
      </w:r>
    </w:p>
    <w:p>
      <w:pPr>
        <w:numPr>
          <w:ilvl w:val="1"/>
          <w:numId w:val="1011"/>
        </w:numPr>
        <w:pStyle w:val="Compact"/>
      </w:pPr>
      <w:r>
        <w:rPr>
          <w:bCs/>
          <w:b/>
        </w:rPr>
        <w:t xml:space="preserve">Scope 3 Coverage:</w:t>
      </w:r>
      <w:r>
        <w:t xml:space="preserve"> </w:t>
      </w:r>
      <w:r>
        <w:t xml:space="preserve">With the detailed breakdown and calculations, this report achieves over 95% coverage for Scope 3 emissions, aligning with 2026 requirements.</w:t>
      </w:r>
    </w:p>
    <w:p>
      <w:pPr>
        <w:numPr>
          <w:ilvl w:val="0"/>
          <w:numId w:val="1010"/>
        </w:numPr>
        <w:pStyle w:val="Compact"/>
      </w:pPr>
      <w:r>
        <w:rPr>
          <w:bCs/>
          <w:b/>
        </w:rPr>
        <w:t xml:space="preserve">Total Emissions:</w:t>
      </w:r>
      <w:r>
        <w:t xml:space="preserve"> </w:t>
      </w:r>
      <w:r>
        <w:t xml:space="preserve">4.060 (Scope 2) + 30.313 (Scope 3) =</w:t>
      </w:r>
      <w:r>
        <w:t xml:space="preserve"> </w:t>
      </w:r>
      <w:r>
        <w:rPr>
          <w:bCs/>
          <w:b/>
        </w:rPr>
        <w:t xml:space="preserve">34.373 kg CO2e/unit</w:t>
      </w:r>
      <w:r>
        <w:t xml:space="preserve">.</w:t>
      </w:r>
    </w:p>
    <w:p>
      <w:r>
        <w:pict>
          <v:rect style="width:0;height:1.5pt" o:hralign="center" o:hrstd="t" o:hr="t"/>
        </w:pict>
      </w:r>
    </w:p>
    <w:bookmarkEnd w:id="38"/>
    <w:bookmarkEnd w:id="39"/>
    <w:bookmarkStart w:id="43" w:name="step-5-review-report"/>
    <w:p>
      <w:pPr>
        <w:pStyle w:val="Heading2"/>
      </w:pPr>
      <w:r>
        <w:t xml:space="preserve">7. Step 5: Review &amp; Report</w:t>
      </w:r>
    </w:p>
    <w:bookmarkStart w:id="40" w:name="emission-hotspots"/>
    <w:p>
      <w:pPr>
        <w:pStyle w:val="Heading3"/>
      </w:pPr>
      <w:r>
        <w:t xml:space="preserve">7.1. Emission Hotspots</w:t>
      </w:r>
    </w:p>
    <w:p>
      <w:pPr>
        <w:pStyle w:val="FirstParagraph"/>
      </w:pPr>
      <w:r>
        <w:t xml:space="preserve">The analysis reveals the following major emission hotspots for lzdjqrzumt:</w:t>
      </w:r>
    </w:p>
    <w:p>
      <w:pPr>
        <w:numPr>
          <w:ilvl w:val="0"/>
          <w:numId w:val="1012"/>
        </w:numPr>
        <w:pStyle w:val="Compact"/>
      </w:pPr>
      <w:r>
        <w:rPr>
          <w:bCs/>
          <w:b/>
        </w:rPr>
        <w:t xml:space="preserve">Use Phase (Scope 3, Category 11):</w:t>
      </w:r>
      <w:r>
        <w:t xml:space="preserve"> </w:t>
      </w:r>
      <w:r>
        <w:t xml:space="preserve">At 27.00 kg CO2e/unit, this phase accounts for the largest portion of the total PCF (approximately 78.5%). This is primarily due to the energy consumption of the product over its 5-year lifespan and the emission factor of the European electricity grid.</w:t>
      </w:r>
    </w:p>
    <w:p>
      <w:pPr>
        <w:numPr>
          <w:ilvl w:val="0"/>
          <w:numId w:val="1012"/>
        </w:numPr>
        <w:pStyle w:val="Compact"/>
      </w:pPr>
      <w:r>
        <w:rPr>
          <w:bCs/>
          <w:b/>
        </w:rPr>
        <w:t xml:space="preserve">Material Acquisition &amp; Pre-processing (Scope 3, Category 1):</w:t>
      </w:r>
      <w:r>
        <w:t xml:space="preserve"> </w:t>
      </w:r>
      <w:r>
        <w:t xml:space="preserve">This phase contributes 5.428 kg CO2e/unit (approximately 15.8% of the total). Primary Aluminium Alloy, Virgin ABS plastic, and Copper wire are the most impactful materials within the Bill of Materials.</w:t>
      </w:r>
    </w:p>
    <w:p>
      <w:pPr>
        <w:numPr>
          <w:ilvl w:val="0"/>
          <w:numId w:val="1012"/>
        </w:numPr>
        <w:pStyle w:val="Compact"/>
      </w:pPr>
      <w:r>
        <w:rPr>
          <w:bCs/>
          <w:b/>
        </w:rPr>
        <w:t xml:space="preserve">Production (Manufacturing) (Scope 2):</w:t>
      </w:r>
      <w:r>
        <w:t xml:space="preserve"> </w:t>
      </w:r>
      <w:r>
        <w:t xml:space="preserve">Emissions from purchased electricity for manufacturing in China amount to 4.060 kg CO2e/unit (approximately 11.8% of the total). While 30% renewable energy usage helps mitigate this, the remaining reliance on the Chinese grid mix, which has a higher emission factor than many European grids, still presents a significant impact.</w:t>
      </w:r>
    </w:p>
    <w:bookmarkEnd w:id="40"/>
    <w:bookmarkStart w:id="41" w:name="reliability-and-limitations"/>
    <w:p>
      <w:pPr>
        <w:pStyle w:val="Heading3"/>
      </w:pPr>
      <w:r>
        <w:t xml:space="preserve">7.2. Reliability and Limitations</w:t>
      </w:r>
    </w:p>
    <w:p>
      <w:pPr>
        <w:pStyle w:val="FirstParagraph"/>
      </w:pPr>
      <w:r>
        <w:t xml:space="preserve">The reliability of this PCF analysis is high due to the use of specific primary data for key parameters (e.g., Detailed BOM, Energy Intensity, Renewable Energy Usage, Product Lifespan, Energy in Use, Recyclability) and the application of industry-standard emission factors. However, some limitations exist:</w:t>
      </w:r>
    </w:p>
    <w:p>
      <w:pPr>
        <w:numPr>
          <w:ilvl w:val="0"/>
          <w:numId w:val="1013"/>
        </w:numPr>
        <w:pStyle w:val="Compact"/>
      </w:pPr>
      <w:r>
        <w:rPr>
          <w:bCs/>
          <w:b/>
        </w:rPr>
        <w:t xml:space="preserve">Simulated BOM Data:</w:t>
      </w:r>
      <w:r>
        <w:t xml:space="preserve"> </w:t>
      </w:r>
      <w:r>
        <w:t xml:space="preserve">The Detailed Bill of Materials (`kyqpnfjj`) was a placeholder, and a representative BOM was simulated. Actual material impacts would require precise, supplier-specific data.</w:t>
      </w:r>
    </w:p>
    <w:p>
      <w:pPr>
        <w:numPr>
          <w:ilvl w:val="0"/>
          <w:numId w:val="1013"/>
        </w:numPr>
        <w:pStyle w:val="Compact"/>
      </w:pPr>
      <w:r>
        <w:rPr>
          <w:bCs/>
          <w:b/>
        </w:rPr>
        <w:t xml:space="preserve">Generic Emission Factors:</w:t>
      </w:r>
      <w:r>
        <w:t xml:space="preserve"> </w:t>
      </w:r>
      <w:r>
        <w:t xml:space="preserve">While industry-standard, generic emission factors for materials and transport may not capture the specific variations of all suppliers within the global supply chain.</w:t>
      </w:r>
    </w:p>
    <w:p>
      <w:pPr>
        <w:numPr>
          <w:ilvl w:val="0"/>
          <w:numId w:val="1013"/>
        </w:numPr>
        <w:pStyle w:val="Compact"/>
      </w:pPr>
      <w:r>
        <w:rPr>
          <w:bCs/>
          <w:b/>
        </w:rPr>
        <w:t xml:space="preserve">Assumptions for Transport:</w:t>
      </w:r>
      <w:r>
        <w:t xml:space="preserve"> </w:t>
      </w:r>
      <w:r>
        <w:t xml:space="preserve">Assumed distances for road transport and specific transport modes were used. Actual logistics data would provide greater accuracy.</w:t>
      </w:r>
    </w:p>
    <w:p>
      <w:pPr>
        <w:numPr>
          <w:ilvl w:val="0"/>
          <w:numId w:val="1013"/>
        </w:numPr>
        <w:pStyle w:val="Compact"/>
      </w:pPr>
      <w:r>
        <w:rPr>
          <w:bCs/>
          <w:b/>
        </w:rPr>
        <w:t xml:space="preserve">Land Sector and Removals (LSR) Standard:</w:t>
      </w:r>
      <w:r>
        <w:t xml:space="preserve"> </w:t>
      </w:r>
      <w:r>
        <w:t xml:space="preserve">While acknowledged and applied, direct primary data for land-use change and specific removals associated with raw material extraction were not available for this analysis. Industry average factors implicitly account for some land use.</w:t>
      </w:r>
    </w:p>
    <w:bookmarkEnd w:id="41"/>
    <w:bookmarkStart w:id="42" w:name="recommendations-for-reduction"/>
    <w:p>
      <w:pPr>
        <w:pStyle w:val="Heading3"/>
      </w:pPr>
      <w:r>
        <w:t xml:space="preserve">7.3. Recommendations for Reduction</w:t>
      </w:r>
    </w:p>
    <w:p>
      <w:pPr>
        <w:pStyle w:val="FirstParagraph"/>
      </w:pPr>
      <w:r>
        <w:t xml:space="preserve">Based on the identified hotspots,</w:t>
      </w:r>
      <w:r>
        <w:t xml:space="preserve"> </w:t>
      </w:r>
      <w:r>
        <w:rPr>
          <w:bCs/>
          <w:b/>
        </w:rPr>
        <w:t xml:space="preserve">vzmudtzmwy</w:t>
      </w:r>
      <w:r>
        <w:t xml:space="preserve"> </w:t>
      </w:r>
      <w:r>
        <w:t xml:space="preserve">can focus on the following areas to reduce the carbon footprint of lzdjqrzumt:</w:t>
      </w:r>
    </w:p>
    <w:p>
      <w:pPr>
        <w:numPr>
          <w:ilvl w:val="0"/>
          <w:numId w:val="1014"/>
        </w:numPr>
        <w:pStyle w:val="Compact"/>
      </w:pPr>
      <w:r>
        <w:rPr>
          <w:bCs/>
          <w:b/>
        </w:rPr>
        <w:t xml:space="preserve">Optimize Use Phase:</w:t>
      </w:r>
      <w:r>
        <w:t xml:space="preserve"> </w:t>
      </w:r>
      <w:r>
        <w:t xml:space="preserve">Invest in energy-efficient design to reduce the product\'s energy consumption during its lifespan. Educate consumers on efficient usage and the benefits of using renewable energy sources for product operation.</w:t>
      </w:r>
    </w:p>
    <w:p>
      <w:pPr>
        <w:numPr>
          <w:ilvl w:val="0"/>
          <w:numId w:val="1014"/>
        </w:numPr>
        <w:pStyle w:val="Compact"/>
      </w:pPr>
      <w:r>
        <w:rPr>
          <w:bCs/>
          <w:b/>
        </w:rPr>
        <w:t xml:space="preserve">Material Decarbonization:</w:t>
      </w:r>
      <w:r>
        <w:t xml:space="preserve"> </w:t>
      </w:r>
      <w:r>
        <w:t xml:space="preserve">Prioritize sourcing materials with lower carbon footprints. Investigate opportunities to increase recycled content for Aluminium, Steel, and ABS plastic, or explore alternative lower-impact materials.</w:t>
      </w:r>
    </w:p>
    <w:p>
      <w:pPr>
        <w:numPr>
          <w:ilvl w:val="0"/>
          <w:numId w:val="1014"/>
        </w:numPr>
        <w:pStyle w:val="Compact"/>
      </w:pPr>
      <w:r>
        <w:rPr>
          <w:bCs/>
          <w:b/>
        </w:rPr>
        <w:t xml:space="preserve">Green Manufacturing:</w:t>
      </w:r>
      <w:r>
        <w:t xml:space="preserve"> </w:t>
      </w:r>
      <w:r>
        <w:t xml:space="preserve">Increase the percentage of renewable energy used at the manufacturing facility in China beyond the current 30% to further reduce Scope 2 emissions. Explore opportunities for on-site renewable energy generation or high-quality renewable energy credits.</w:t>
      </w:r>
    </w:p>
    <w:p>
      <w:pPr>
        <w:numPr>
          <w:ilvl w:val="0"/>
          <w:numId w:val="1014"/>
        </w:numPr>
        <w:pStyle w:val="Compact"/>
      </w:pPr>
      <w:r>
        <w:rPr>
          <w:bCs/>
          <w:b/>
        </w:rPr>
        <w:t xml:space="preserve">Enhance Circularity:</w:t>
      </w:r>
      <w:r>
        <w:t xml:space="preserve"> </w:t>
      </w:r>
      <w:r>
        <w:t xml:space="preserve">Leverage and expand the established circular/take-back programs (`zghgpqkzle`) to maximize material recovery and ensure high-quality recycling, further increasing avoided emissions at the End-of-Life stage.</w:t>
      </w:r>
    </w:p>
    <w:p>
      <w:pPr>
        <w:numPr>
          <w:ilvl w:val="0"/>
          <w:numId w:val="1014"/>
        </w:numPr>
        <w:pStyle w:val="Compact"/>
      </w:pPr>
      <w:r>
        <w:rPr>
          <w:bCs/>
          <w:b/>
        </w:rPr>
        <w:t xml:space="preserve">Supply Chain Engagement:</w:t>
      </w:r>
      <w:r>
        <w:t xml:space="preserve"> </w:t>
      </w:r>
      <w:r>
        <w:t xml:space="preserve">Engage with upstream suppliers to identify opportunities for reducing emissions from their processes and transportation.</w:t>
      </w:r>
    </w:p>
    <w:p>
      <w:pPr>
        <w:pStyle w:val="FirstParagraph"/>
      </w:pPr>
      <w:r>
        <w:t xml:space="preserve">This report provides a robust foundation for</w:t>
      </w:r>
      <w:r>
        <w:t xml:space="preserve"> </w:t>
      </w:r>
      <w:r>
        <w:rPr>
          <w:bCs/>
          <w:b/>
        </w:rPr>
        <w:t xml:space="preserve">vzmudtzmwy</w:t>
      </w:r>
      <w:r>
        <w:t xml:space="preserve"> </w:t>
      </w:r>
      <w:r>
        <w:t xml:space="preserve">to develop and implement targeted sustainability initiatives for</w:t>
      </w:r>
      <w:r>
        <w:t xml:space="preserve"> </w:t>
      </w:r>
      <w:r>
        <w:rPr>
          <w:bCs/>
          <w:b/>
        </w:rPr>
        <w:t xml:space="preserve">lzdjqrzumt</w:t>
      </w:r>
      <w:r>
        <w:t xml:space="preserve">, aligning with global climate goals and stakeholder expectations.</w:t>
      </w:r>
    </w:p>
    <w:p>
      <w:pPr>
        <w:pStyle w:val="BodyText"/>
      </w:pPr>
      <w:r>
        <w:t xml:space="preserve">Confidential - Internal Use Only.</w:t>
      </w:r>
    </w:p>
    <w:bookmarkEnd w:id="42"/>
    <w:bookmarkEnd w:id="43"/>
    <w:bookmarkEnd w:id="4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Analysis Report for lzdjqrzumt</dc:title>
  <dc:creator/>
  <dc:description>A high-detail Product Carbon Footprint (PCF) analysis report for lzdjqrzumt, performed by sigrjxjvkg for vzmudtzmwy, adhering to GHG Protocol and 2026 LSR Update requirements.</dc:description>
  <dc:language>en</dc:language>
  <cp:keywords/>
  <dcterms:created xsi:type="dcterms:W3CDTF">2026-05-30T16:52:18Z</dcterms:created>
  <dcterms:modified xsi:type="dcterms:W3CDTF">2026-05-30T16:52:18Z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