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ljftjtmlnq</w:t>
      </w:r>
    </w:p>
    <w:bookmarkStart w:id="20" w:name="carboncalcpcf.com"/>
    <w:p>
      <w:pPr>
        <w:pStyle w:val="Heading1"/>
      </w:pPr>
      <w:r>
        <w:t xml:space="preserve">carboncalcpcf.com</w:t>
      </w:r>
    </w:p>
    <w:bookmarkEnd w:id="20"/>
    <w:bookmarkStart w:id="21" w:name="product-carbon-footprint-analysis-report"/>
    <w:p>
      <w:pPr>
        <w:pStyle w:val="Heading1"/>
      </w:pPr>
      <w:r>
        <w:t xml:space="preserve">Product Carbon Footprint Analysis Report</w:t>
      </w:r>
    </w:p>
    <w:p>
      <w:pPr>
        <w:pStyle w:val="FirstParagraph"/>
      </w:pPr>
      <w:r>
        <w:t xml:space="preserve">**Product:** ljftjtmlnq</w:t>
      </w:r>
    </w:p>
    <w:p>
      <w:pPr>
        <w:pStyle w:val="BodyText"/>
      </w:pPr>
      <w:r>
        <w:t xml:space="preserve">**Company:** hhlyewskne</w:t>
      </w:r>
    </w:p>
    <w:p>
      <w:pPr>
        <w:pStyle w:val="BodyText"/>
      </w:pPr>
      <w:r>
        <w:t xml:space="preserve">**Accounting Standard:** GHG Protocol</w:t>
      </w:r>
    </w:p>
    <w:p>
      <w:pPr>
        <w:pStyle w:val="BodyText"/>
      </w:pPr>
      <w:r>
        <w:t xml:space="preserve">**Senior Sustainability Consultant:** ijifnutvwo</w:t>
      </w:r>
    </w:p>
    <w:p>
      <w:pPr>
        <w:pStyle w:val="BodyText"/>
      </w:pPr>
      <w:r>
        <w:t xml:space="preserve">Disclaimer: This report is generated based on available data and industry standards. While efforts have been made to ensure accuracy, actual emissions may vary due to real-world complexities and data limitations.</w:t>
      </w:r>
    </w:p>
    <w:bookmarkEnd w:id="21"/>
    <w:bookmarkStart w:id="46" w:name="X1ce27bb2226724788933a4ecc6d31eee625f59c"/>
    <w:p>
      <w:pPr>
        <w:pStyle w:val="Heading1"/>
      </w:pPr>
      <w:r>
        <w:t xml:space="preserve">Product Carbon Footprint Analysis Report: ljftjtmlnq</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ljftjtmlnq, manufactured by hhlyewskne. The analysis was conducted by Senior Sustainability Consultant ijifnutvwo, adhering strictly to the GHG Protocol and incorporating the 2026 Land Sector and Removals (LSR) Standard update. The primary goal is to quantify the greenhouse gas (GHG) emissions across the product\'s lifecycle, identify key emission hotspots, and provide recommendations for improvement. The total cradle-to-gate-plus-use-and-end-of-life carbon footprint for one functional unit of ljftjtmlnq is calculated to be **[Calculated Total PCF] kgCO2e**.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ljftjtmlnq follows a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and mapping of all relevant processes and flows throughout the product\'s lifecycle.</w:t>
      </w:r>
    </w:p>
    <w:p>
      <w:pPr>
        <w:numPr>
          <w:ilvl w:val="0"/>
          <w:numId w:val="1001"/>
        </w:numPr>
        <w:pStyle w:val="Compact"/>
      </w:pPr>
      <w:r>
        <w:rPr>
          <w:bCs/>
          <w:b/>
        </w:rPr>
        <w:t xml:space="preserve">Collect Data:</w:t>
      </w:r>
      <w:r>
        <w:t xml:space="preserve"> </w:t>
      </w:r>
      <w:r>
        <w:t xml:space="preserve">Gathering of primary and secondary data points for all identified processes and flows.</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reliability, and compilation of the final report.</w:t>
      </w:r>
    </w:p>
    <w:p>
      <w:pPr>
        <w:pStyle w:val="FirstParagraph"/>
      </w:pPr>
      <w:r>
        <w:t xml:space="preserve">This assessment categorizes emissions into Scope 1 (direct emissions), Scope 2 (indirect emissions from purchased energy), and Scope 3 (all other indirect emissions in the value chain). Special attention has been given to achieving at least 95% coverage for Scope 3 reporting, in line with 2026 requirements, and applying the Land Sector and Removals (LSR) Standard where applicable.</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numPr>
          <w:ilvl w:val="0"/>
          <w:numId w:val="1002"/>
        </w:numPr>
        <w:pStyle w:val="Compact"/>
      </w:pPr>
      <w:r>
        <w:rPr>
          <w:bCs/>
          <w:b/>
        </w:rPr>
        <w:t xml:space="preserve">Product:</w:t>
      </w:r>
      <w:r>
        <w:t xml:space="preserve"> </w:t>
      </w:r>
      <w:r>
        <w:t xml:space="preserve">ljftjtmlnq</w:t>
      </w:r>
    </w:p>
    <w:p>
      <w:pPr>
        <w:numPr>
          <w:ilvl w:val="0"/>
          <w:numId w:val="1002"/>
        </w:numPr>
        <w:pStyle w:val="Compact"/>
      </w:pPr>
      <w:r>
        <w:rPr>
          <w:bCs/>
          <w:b/>
        </w:rPr>
        <w:t xml:space="preserve">Functional Unit:</w:t>
      </w:r>
      <w:r>
        <w:t xml:space="preserve"> </w:t>
      </w:r>
      <w:r>
        <w:t xml:space="preserve">1.0 unit</w:t>
      </w:r>
    </w:p>
    <w:bookmarkEnd w:id="24"/>
    <w:bookmarkStart w:id="25" w:name="system-boundary"/>
    <w:p>
      <w:pPr>
        <w:pStyle w:val="Heading3"/>
      </w:pPr>
      <w:r>
        <w:t xml:space="preserve">System Boundary</w:t>
      </w:r>
    </w:p>
    <w:p>
      <w:pPr>
        <w:numPr>
          <w:ilvl w:val="0"/>
          <w:numId w:val="1003"/>
        </w:numPr>
        <w:pStyle w:val="Compact"/>
      </w:pPr>
      <w:r>
        <w:rPr>
          <w:bCs/>
          <w:b/>
        </w:rPr>
        <w:t xml:space="preserve">System Boundary:</w:t>
      </w:r>
      <w:r>
        <w:t xml:space="preserve"> </w:t>
      </w:r>
      <w:r>
        <w:t xml:space="preserve">Cradle-to-grave (factory_gate as a key milestone, extended to include use and end-of-life phases for comprehensive analysis). This includes raw material acquisition, manufacturing, transport (inbound and outbound), product use, and end-of-life.</w:t>
      </w:r>
    </w:p>
    <w:bookmarkEnd w:id="25"/>
    <w:bookmarkStart w:id="26"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material sourcing and/or primary markets in Europe, with transport between China and Europe being significant).</w:t>
      </w:r>
    </w:p>
    <w:bookmarkEnd w:id="26"/>
    <w:bookmarkStart w:id="27" w:name="accounting-standard"/>
    <w:p>
      <w:pPr>
        <w:pStyle w:val="Heading3"/>
      </w:pPr>
      <w:r>
        <w:t xml:space="preserve">Accounting Standard</w:t>
      </w:r>
    </w:p>
    <w:p>
      <w:pPr>
        <w:numPr>
          <w:ilvl w:val="0"/>
          <w:numId w:val="1005"/>
        </w:numPr>
        <w:pStyle w:val="Compact"/>
      </w:pPr>
      <w:r>
        <w:rPr>
          <w:bCs/>
          <w:b/>
        </w:rPr>
        <w:t xml:space="preserve">Accounting Standard:</w:t>
      </w:r>
      <w:r>
        <w:t xml:space="preserve"> </w:t>
      </w:r>
      <w:r>
        <w:t xml:space="preserve">GHG Protocol Product Life Cycle Accounting and Reporting Standard.</w:t>
      </w:r>
    </w:p>
    <w:p>
      <w:pPr>
        <w:numPr>
          <w:ilvl w:val="0"/>
          <w:numId w:val="1005"/>
        </w:numPr>
        <w:pStyle w:val="Compact"/>
      </w:pPr>
      <w:r>
        <w:rPr>
          <w:bCs/>
          <w:b/>
        </w:rPr>
        <w:t xml:space="preserve">2026 LSR Update:</w:t>
      </w:r>
      <w:r>
        <w:t xml:space="preserve"> </w:t>
      </w:r>
      <w:r>
        <w:t xml:space="preserve">The Land Sector and Removals (LSR) Standard is acknowledged. While specific land-use change data for raw materials is not provided, any bio-based material impacts or carbon removals would be integrated if detailed data were available. For this analysis, direct land-use change emissions or removals are not quantified due to lack of specific data, but the framework is considered.</w:t>
      </w:r>
    </w:p>
    <w:bookmarkEnd w:id="27"/>
    <w:bookmarkStart w:id="28" w:name="allocation"/>
    <w:p>
      <w:pPr>
        <w:pStyle w:val="Heading3"/>
      </w:pPr>
      <w:r>
        <w:t xml:space="preserve">Allocation</w:t>
      </w:r>
    </w:p>
    <w:p>
      <w:pPr>
        <w:pStyle w:val="FirstParagraph"/>
      </w:pPr>
      <w:r>
        <w:t xml:space="preserve">For this single product PCF, direct allocation is applied where possible. In cases of shared processes (e.g., manufacturing facilities producing multiple products), economic allocation is assumed for shared overheads if primary data were to suggest it; however, for the purpose of this report, all relevant processes are directly attributable to the production of ljftjtmlnq based on the functional unit.</w:t>
      </w:r>
    </w:p>
    <w:p>
      <w:r>
        <w:pict>
          <v:rect style="width:0;height:1.5pt" o:hralign="center" o:hrstd="t" o:hr="t"/>
        </w:pict>
      </w:r>
    </w:p>
    <w:bookmarkEnd w:id="28"/>
    <w:bookmarkEnd w:id="29"/>
    <w:bookmarkStart w:id="36"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and the lifecycle stages mapped for ljftjtmlnq.</w:t>
      </w:r>
    </w:p>
    <w:bookmarkStart w:id="30" w:name="Xbeba3953856bd28b7232ed9921dacb15b7e823f"/>
    <w:p>
      <w:pPr>
        <w:pStyle w:val="Heading3"/>
      </w:pPr>
      <w:r>
        <w:t xml:space="preserve">Raw Materials and Production (Scope 3 - Upstream)</w:t>
      </w:r>
    </w:p>
    <w:p>
      <w:pPr>
        <w:pStyle w:val="FirstParagraph"/>
      </w:pPr>
      <w:r>
        <w:t xml:space="preserve">The Detailed Bill of Materials (BOM) for ljftjtmlnq is provided as:</w:t>
      </w:r>
      <w:r>
        <w:br/>
      </w:r>
      <w:r>
        <w:rPr>
          <w:rStyle w:val="VerbatimChar"/>
        </w:rPr>
        <w:t xml:space="preserve">tsydfgjg</w:t>
      </w:r>
      <w:r>
        <w:t xml:space="preserve">.</w:t>
      </w:r>
      <w:r>
        <w:t xml:space="preserve"> </w:t>
      </w:r>
      <w:r>
        <w:t xml:space="preserve">This string will be parsed to extract specific material data, ensuring high-accuracy material impact calculation.</w:t>
      </w:r>
    </w:p>
    <w:p>
      <w:pPr>
        <w:pStyle w:val="BodyText"/>
      </w:pPr>
      <w:r>
        <w:t xml:space="preserve">trim($parts),</w:t>
      </w:r>
      <w:r>
        <w:t xml:space="preserve"> </w:t>
      </w:r>
      <w:r>
        <w:t xml:space="preserve">\'Description\' =&gt; trim($parts),</w:t>
      </w:r>
      <w:r>
        <w:t xml:space="preserve"> </w:t>
      </w:r>
      <w:r>
        <w:t xml:space="preserve">\'Category\' =&gt; trim($parts),</w:t>
      </w:r>
      <w:r>
        <w:t xml:space="preserve"> </w:t>
      </w:r>
      <w:r>
        <w:t xml:space="preserve">\'Process\' =&gt; trim($parts),</w:t>
      </w:r>
      <w:r>
        <w:t xml:space="preserve"> </w:t>
      </w:r>
      <w:r>
        <w:t xml:space="preserve">\'Qty\' =&gt; (float)trim($parts),</w:t>
      </w:r>
      <w:r>
        <w:t xml:space="preserve"> </w:t>
      </w:r>
      <w:r>
        <w:t xml:space="preserve">\'Unit\' =&gt; trim($parts),</w:t>
      </w:r>
      <w:r>
        <w:t xml:space="preserve"> </w:t>
      </w:r>
      <w:r>
        <w:t xml:space="preserve">\'Emission Factor\' =&gt; (float)trim($parts),</w:t>
      </w:r>
      <w:r>
        <w:t xml:space="preserve"> </w:t>
      </w:r>
      <w:r>
        <w:t xml:space="preserve">\'Total Carbon\' =&gt; (float)trim($parts)</w:t>
      </w:r>
      <w:r>
        <w:t xml:space="preserve"> </w:t>
      </w:r>
      <w:r>
        <w:t xml:space="preserve">];</w:t>
      </w:r>
      <w:r>
        <w:t xml:space="preserve"> </w:t>
      </w:r>
      <w:r>
        <w:t xml:space="preserve">$parsed_bom[] = $item;</w:t>
      </w:r>
      <w:r>
        <w:t xml:space="preserve"> </w:t>
      </w:r>
      <w:r>
        <w:t xml:space="preserve">$material_emissions_total += $item[\'Total Carbon\'];</w:t>
      </w:r>
      <w:r>
        <w:t xml:space="preserve"> </w:t>
      </w:r>
      <w:r>
        <w:t xml:space="preserve">if ($item[\'Unit\'] === \'kg\') { // Sum only kg for product mass</w:t>
      </w:r>
      <w:r>
        <w:t xml:space="preserve"> </w:t>
      </w:r>
      <w:r>
        <w:t xml:space="preserve">$total_product_mass += $item[\'Qty\'];</w:t>
      </w:r>
      <w:r>
        <w:t xml:space="preserve"> </w:t>
      </w:r>
      <w:r>
        <w:t xml:space="preserve">}</w:t>
      </w:r>
      <w:r>
        <w:t xml:space="preserve"> </w:t>
      </w:r>
      <w:r>
        <w:t xml:space="preserve">}</w:t>
      </w:r>
      <w:r>
        <w:t xml:space="preserve"> </w:t>
      </w:r>
      <w:r>
        <w:t xml:space="preserve">}</w:t>
      </w:r>
      <w:r>
        <w:t xml:space="preserve"> </w:t>
      </w:r>
      <w:r>
        <w:t xml:space="preserve">?&gt;</w:t>
      </w:r>
    </w:p>
    <w:bookmarkEnd w:id="30"/>
    <w:bookmarkStart w:id="31" w:name="X3f1083e6720416994c3a62f6e3f168208c2d4ab"/>
    <w:p>
      <w:pPr>
        <w:pStyle w:val="Heading3"/>
      </w:pPr>
      <w:r>
        <w:t xml:space="preserve">Detailed Bill of Materials (BOM) for ljftjtmlnq</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Total Material Carbon Footprint:</w:t>
      </w:r>
    </w:p>
    <w:p>
      <w:pPr>
        <w:pStyle w:val="BodyText"/>
      </w:pPr>
      <w:r>
        <w:t xml:space="preserve">kgCO2e</w:t>
      </w:r>
    </w:p>
    <w:p>
      <w:pPr>
        <w:pStyle w:val="BodyText"/>
      </w:pPr>
      <w:r>
        <w:rPr>
          <w:bCs/>
          <w:b/>
        </w:rPr>
        <w:t xml:space="preserve">Estimated Total Product Mass:</w:t>
      </w:r>
    </w:p>
    <w:p>
      <w:pPr>
        <w:pStyle w:val="BodyText"/>
      </w:pPr>
      <w:r>
        <w:t xml:space="preserve">kg</w:t>
      </w:r>
    </w:p>
    <w:bookmarkEnd w:id="31"/>
    <w:bookmarkStart w:id="32" w:name="manufacturingproduction-energy-scope-2"/>
    <w:p>
      <w:pPr>
        <w:pStyle w:val="Heading3"/>
      </w:pPr>
      <w:r>
        <w:t xml:space="preserve">Manufacturing/Production Energy (Scope 2)</w:t>
      </w:r>
    </w:p>
    <w:p>
      <w:pPr>
        <w:numPr>
          <w:ilvl w:val="0"/>
          <w:numId w:val="1006"/>
        </w:numPr>
        <w:pStyle w:val="Compact"/>
      </w:pPr>
      <w:r>
        <w:rPr>
          <w:bCs/>
          <w:b/>
        </w:rPr>
        <w:t xml:space="preserve">Final Production Country:</w:t>
      </w:r>
      <w:r>
        <w:t xml:space="preserve"> </w:t>
      </w:r>
      <w:r>
        <w:t xml:space="preserve">China</w:t>
      </w:r>
    </w:p>
    <w:p>
      <w:pPr>
        <w:numPr>
          <w:ilvl w:val="0"/>
          <w:numId w:val="1006"/>
        </w:numPr>
        <w:pStyle w:val="Compact"/>
      </w:pPr>
      <w:r>
        <w:rPr>
          <w:bCs/>
          <w:b/>
        </w:rPr>
        <w:t xml:space="preserve">Energy Intensity (kWh/unit):</w:t>
      </w:r>
    </w:p>
    <w:p>
      <w:pPr>
        <w:numPr>
          <w:ilvl w:val="0"/>
          <w:numId w:val="1000"/>
        </w:numPr>
        <w:pStyle w:val="Compact"/>
      </w:pPr>
      <w:r>
        <w:t xml:space="preserve">kWh/unit</w:t>
      </w:r>
    </w:p>
    <w:p>
      <w:pPr>
        <w:numPr>
          <w:ilvl w:val="0"/>
          <w:numId w:val="1006"/>
        </w:numPr>
        <w:pStyle w:val="Compact"/>
      </w:pPr>
      <w:r>
        <w:rPr>
          <w:bCs/>
          <w:b/>
        </w:rPr>
        <w:t xml:space="preserve">Renewable Energy Usage:</w:t>
      </w:r>
    </w:p>
    <w:p>
      <w:pPr>
        <w:numPr>
          <w:ilvl w:val="0"/>
          <w:numId w:val="1000"/>
        </w:numPr>
        <w:pStyle w:val="Compact"/>
      </w:pPr>
      <w:r>
        <w:t xml:space="preserve">%</w:t>
      </w:r>
    </w:p>
    <w:p>
      <w:pPr>
        <w:numPr>
          <w:ilvl w:val="0"/>
          <w:numId w:val="1006"/>
        </w:numPr>
        <w:pStyle w:val="Compact"/>
      </w:pPr>
      <w:r>
        <w:rPr>
          <w:bCs/>
          <w:b/>
        </w:rPr>
        <w:t xml:space="preserve">China Grid Emission Factor (2026 estimate):</w:t>
      </w:r>
      <w:r>
        <w:t xml:space="preserve"> </w:t>
      </w:r>
      <w:r>
        <w:t xml:space="preserve">0.50 kgCO2e/kWh</w:t>
      </w:r>
    </w:p>
    <w:p>
      <w:pPr>
        <w:pStyle w:val="FirstParagraph"/>
      </w:pPr>
      <w:r>
        <w:t xml:space="preserve">The product consumes kWh per unit during production. With % renewable energy usage, the grid electricity consumption amounts to kWh/unit. This results in ** kgCO2e** from purchased electricity (Scope 2).</w:t>
      </w:r>
    </w:p>
    <w:bookmarkEnd w:id="32"/>
    <w:bookmarkStart w:id="33" w:name="transport-scope-3---upstream-downstream"/>
    <w:p>
      <w:pPr>
        <w:pStyle w:val="Heading3"/>
      </w:pPr>
      <w:r>
        <w:t xml:space="preserve">Transport (Scope 3 - Upstream &amp; Downstream)</w:t>
      </w:r>
    </w:p>
    <w:p>
      <w:pPr>
        <w:numPr>
          <w:ilvl w:val="0"/>
          <w:numId w:val="1007"/>
        </w:numPr>
        <w:pStyle w:val="Compact"/>
      </w:pPr>
      <w:r>
        <w:rPr>
          <w:bCs/>
          <w:b/>
        </w:rPr>
        <w:t xml:space="preserve">Transport Mode:</w:t>
      </w:r>
      <w:r>
        <w:t xml:space="preserve"> </w:t>
      </w:r>
      <w:r>
        <w:t xml:space="preserve">Select Mode (Interpreted as Mixed Ocean/Road Freight from China to Europe).</w:t>
      </w:r>
    </w:p>
    <w:p>
      <w:pPr>
        <w:numPr>
          <w:ilvl w:val="0"/>
          <w:numId w:val="1007"/>
        </w:numPr>
        <w:pStyle w:val="Compact"/>
      </w:pPr>
      <w:r>
        <w:rPr>
          <w:bCs/>
          <w:b/>
        </w:rPr>
        <w:t xml:space="preserve">Transport Distance:</w:t>
      </w:r>
    </w:p>
    <w:p>
      <w:pPr>
        <w:numPr>
          <w:ilvl w:val="0"/>
          <w:numId w:val="1000"/>
        </w:numPr>
        <w:pStyle w:val="Compact"/>
      </w:pPr>
      <w:r>
        <w:t xml:space="preserve">km (Total primary transport distance for the product).</w:t>
      </w:r>
    </w:p>
    <w:p>
      <w:pPr>
        <w:numPr>
          <w:ilvl w:val="0"/>
          <w:numId w:val="1007"/>
        </w:numPr>
        <w:pStyle w:val="Compact"/>
      </w:pPr>
      <w:r>
        <w:rPr>
          <w:bCs/>
          <w:b/>
        </w:rPr>
        <w:t xml:space="preserve">Last-Mile Delivery Channel:</w:t>
      </w:r>
      <w:r>
        <w:t xml:space="preserve"> </w:t>
      </w:r>
      <w:r>
        <w:t xml:space="preserve">Delivery Type (Interpreted as Road Light Commercial Vehicle within Europe).</w:t>
      </w:r>
    </w:p>
    <w:p>
      <w:pPr>
        <w:numPr>
          <w:ilvl w:val="0"/>
          <w:numId w:val="1007"/>
        </w:numPr>
        <w:pStyle w:val="Compact"/>
      </w:pPr>
      <w:r>
        <w:rPr>
          <w:bCs/>
          <w:b/>
        </w:rPr>
        <w:t xml:space="preserve">Assumed Last-Mile Distance:</w:t>
      </w:r>
      <w:r>
        <w:t xml:space="preserve"> </w:t>
      </w:r>
      <w:r>
        <w:t xml:space="preserve">100 km (default assumption).</w:t>
      </w:r>
    </w:p>
    <w:p>
      <w:pPr>
        <w:numPr>
          <w:ilvl w:val="0"/>
          <w:numId w:val="1007"/>
        </w:numPr>
        <w:pStyle w:val="Compact"/>
      </w:pPr>
      <w:r>
        <w:rPr>
          <w:bCs/>
          <w:b/>
        </w:rPr>
        <w:t xml:space="preserve">Ocean Freight Emission Factor (2025/2026):</w:t>
      </w:r>
      <w:r>
        <w:t xml:space="preserve"> </w:t>
      </w:r>
      <w:r>
        <w:t xml:space="preserve">0.016 kgCO2e/tkm</w:t>
      </w:r>
    </w:p>
    <w:p>
      <w:pPr>
        <w:numPr>
          <w:ilvl w:val="0"/>
          <w:numId w:val="1007"/>
        </w:numPr>
        <w:pStyle w:val="Compact"/>
      </w:pPr>
      <w:r>
        <w:rPr>
          <w:bCs/>
          <w:b/>
        </w:rPr>
        <w:t xml:space="preserve">Road Freight Emission Factor (Europe, 2011/2026 proxy):</w:t>
      </w:r>
      <w:r>
        <w:t xml:space="preserve"> </w:t>
      </w:r>
      <w:r>
        <w:t xml:space="preserve">0.09 kgCO2e/tkm</w:t>
      </w:r>
    </w:p>
    <w:p>
      <w:pPr>
        <w:numPr>
          <w:ilvl w:val="0"/>
          <w:numId w:val="1007"/>
        </w:numPr>
        <w:pStyle w:val="Compact"/>
      </w:pPr>
      <w:r>
        <w:rPr>
          <w:bCs/>
          <w:b/>
        </w:rPr>
        <w:t xml:space="preserve">Light Commercial Vehicle (LCV) Emission Factor (Last-Mile, calculated from 2026 data):</w:t>
      </w:r>
      <w:r>
        <w:t xml:space="preserve"> </w:t>
      </w:r>
      <w:r>
        <w:t xml:space="preserve">0.00015 kgCO2e/kg.km (0.15 kgCO2e/km for 1-tonne payload)</w:t>
      </w:r>
    </w:p>
    <w:p>
      <w:pPr>
        <w:pStyle w:val="FirstParagraph"/>
      </w:pPr>
      <w:r>
        <w:t xml:space="preserve">Primary transport from China to Europe ( km) is estimated as 80% ocean freight and 20% road freight, based on the geographic scope. Inbound logistics for materials are considered part of the "Total Carbon" in the BOM, representing emissions up to the factory gate. The calculated transport emissions for the final product (post-factory_gate) are:</w:t>
      </w:r>
    </w:p>
    <w:p>
      <w:pPr>
        <w:numPr>
          <w:ilvl w:val="0"/>
          <w:numId w:val="1008"/>
        </w:numPr>
        <w:pStyle w:val="Compact"/>
      </w:pPr>
      <w:r>
        <w:rPr>
          <w:bCs/>
          <w:b/>
        </w:rPr>
        <w:t xml:space="preserve">Main Transport (Ocean/Road Freight):</w:t>
      </w:r>
    </w:p>
    <w:p>
      <w:pPr>
        <w:numPr>
          <w:ilvl w:val="0"/>
          <w:numId w:val="1000"/>
        </w:numPr>
        <w:pStyle w:val="Compact"/>
      </w:pPr>
      <w:r>
        <w:t xml:space="preserve">kgCO2e (Scope 3 - Downstream).</w:t>
      </w:r>
    </w:p>
    <w:p>
      <w:pPr>
        <w:numPr>
          <w:ilvl w:val="0"/>
          <w:numId w:val="1008"/>
        </w:numPr>
        <w:pStyle w:val="Compact"/>
      </w:pPr>
      <w:r>
        <w:rPr>
          <w:bCs/>
          <w:b/>
        </w:rPr>
        <w:t xml:space="preserve">Last-Mile Delivery (Road LCV):</w:t>
      </w:r>
    </w:p>
    <w:p>
      <w:pPr>
        <w:numPr>
          <w:ilvl w:val="0"/>
          <w:numId w:val="1000"/>
        </w:numPr>
        <w:pStyle w:val="Compact"/>
      </w:pPr>
      <w:r>
        <w:t xml:space="preserve">kgCO2e (Scope 3 - Downstream).</w:t>
      </w:r>
    </w:p>
    <w:bookmarkEnd w:id="33"/>
    <w:bookmarkStart w:id="34" w:name="use-phase-scope-3---downstream"/>
    <w:p>
      <w:pPr>
        <w:pStyle w:val="Heading3"/>
      </w:pPr>
      <w:r>
        <w:t xml:space="preserve">Use Phase (Scope 3 - Downstream)</w:t>
      </w:r>
    </w:p>
    <w:p>
      <w:pPr>
        <w:numPr>
          <w:ilvl w:val="0"/>
          <w:numId w:val="1009"/>
        </w:numPr>
        <w:pStyle w:val="Compact"/>
      </w:pPr>
      <w:r>
        <w:rPr>
          <w:bCs/>
          <w:b/>
        </w:rPr>
        <w:t xml:space="preserve">Product Lifespan:</w:t>
      </w:r>
    </w:p>
    <w:p>
      <w:pPr>
        <w:numPr>
          <w:ilvl w:val="0"/>
          <w:numId w:val="1000"/>
        </w:numPr>
        <w:pStyle w:val="Compact"/>
      </w:pPr>
      <w:r>
        <w:t xml:space="preserve">years</w:t>
      </w:r>
    </w:p>
    <w:p>
      <w:pPr>
        <w:numPr>
          <w:ilvl w:val="0"/>
          <w:numId w:val="1009"/>
        </w:numPr>
        <w:pStyle w:val="Compact"/>
      </w:pPr>
      <w:r>
        <w:rPr>
          <w:bCs/>
          <w:b/>
        </w:rPr>
        <w:t xml:space="preserve">Energy Consumption in Use:</w:t>
      </w:r>
    </w:p>
    <w:p>
      <w:pPr>
        <w:numPr>
          <w:ilvl w:val="0"/>
          <w:numId w:val="1000"/>
        </w:numPr>
        <w:pStyle w:val="Compact"/>
      </w:pPr>
      <w:r>
        <w:t xml:space="preserve">kWh/year</w:t>
      </w:r>
    </w:p>
    <w:p>
      <w:pPr>
        <w:numPr>
          <w:ilvl w:val="0"/>
          <w:numId w:val="1009"/>
        </w:numPr>
        <w:pStyle w:val="Compact"/>
      </w:pPr>
      <w:r>
        <w:rPr>
          <w:bCs/>
          <w:b/>
        </w:rPr>
        <w:t xml:space="preserve">Global Grid Emission Factor (2026 estimate):</w:t>
      </w:r>
      <w:r>
        <w:t xml:space="preserve"> </w:t>
      </w:r>
      <w:r>
        <w:t xml:space="preserve">0.415 kgCO2e/kWh</w:t>
      </w:r>
    </w:p>
    <w:p>
      <w:pPr>
        <w:pStyle w:val="FirstParagraph"/>
      </w:pPr>
      <w:r>
        <w:t xml:space="preserve">Over its estimated lifespan of years, ljftjtmlnq consumes kWh annually, totaling kWh. This results in ** kgCO2e** during the use phase (Scope 3 - Downstream).</w:t>
      </w:r>
    </w:p>
    <w:bookmarkEnd w:id="34"/>
    <w:bookmarkStart w:id="35" w:name="X2449e76f36fce2c9fec3c701a472f020b80894d"/>
    <w:p>
      <w:pPr>
        <w:pStyle w:val="Heading3"/>
      </w:pPr>
      <w:r>
        <w:t xml:space="preserve">End-of-Life (EoL) Scenarios (Scope 3 - Downstream)</w:t>
      </w:r>
    </w:p>
    <w:p>
      <w:pPr>
        <w:numPr>
          <w:ilvl w:val="0"/>
          <w:numId w:val="1010"/>
        </w:numPr>
        <w:pStyle w:val="Compact"/>
      </w:pPr>
      <w:r>
        <w:rPr>
          <w:bCs/>
          <w:b/>
        </w:rPr>
        <w:t xml:space="preserve">Recyclability Percentage:</w:t>
      </w:r>
    </w:p>
    <w:p>
      <w:pPr>
        <w:numPr>
          <w:ilvl w:val="0"/>
          <w:numId w:val="1000"/>
        </w:numPr>
        <w:pStyle w:val="Compact"/>
      </w:pPr>
      <w:r>
        <w:t xml:space="preserve">%</w:t>
      </w:r>
    </w:p>
    <w:p>
      <w:pPr>
        <w:numPr>
          <w:ilvl w:val="0"/>
          <w:numId w:val="1010"/>
        </w:numPr>
        <w:pStyle w:val="Compact"/>
      </w:pPr>
      <w:r>
        <w:rPr>
          <w:bCs/>
          <w:b/>
        </w:rPr>
        <w:t xml:space="preserve">Circular/Take-back Programs:</w:t>
      </w:r>
    </w:p>
    <w:p>
      <w:pPr>
        <w:numPr>
          <w:ilvl w:val="0"/>
          <w:numId w:val="1010"/>
        </w:numPr>
        <w:pStyle w:val="Compact"/>
      </w:pPr>
      <w:r>
        <w:rPr>
          <w:bCs/>
          <w:b/>
        </w:rPr>
        <w:t xml:space="preserve">Recycling Credit Factor (Avoided Emissions):</w:t>
      </w:r>
      <w:r>
        <w:t xml:space="preserve"> </w:t>
      </w:r>
      <w:r>
        <w:t xml:space="preserve">70% of virgin material emissions avoided per recycled portion (conservative estimate).</w:t>
      </w:r>
    </w:p>
    <w:p>
      <w:pPr>
        <w:pStyle w:val="FirstParagraph"/>
      </w:pPr>
      <w:r>
        <w:t xml:space="preserve">With a % recyclability percentage and an , the end-of-life phase is expected to generate a significant environmental benefit through avoided emissions from virgin material production. A recycling credit of 70% of the material\'s embodied carbon for the recycled portion is applied. This results in a net credit of ** kgCO2e** for the end-of-life phase (Scope 3 - Downstream).</w:t>
      </w:r>
    </w:p>
    <w:p>
      <w:r>
        <w:pict>
          <v:rect style="width:0;height:1.5pt" o:hralign="center" o:hrstd="t" o:hr="t"/>
        </w:pict>
      </w:r>
    </w:p>
    <w:bookmarkEnd w:id="35"/>
    <w:bookmarkEnd w:id="36"/>
    <w:bookmarkStart w:id="40" w:name="calculate-emissions"/>
    <w:p>
      <w:pPr>
        <w:pStyle w:val="Heading2"/>
      </w:pPr>
      <w:r>
        <w:t xml:space="preserve">4. Calculate Emissions</w:t>
      </w:r>
    </w:p>
    <w:p>
      <w:pPr>
        <w:pStyle w:val="FirstParagraph"/>
      </w:pPr>
      <w:r>
        <w:t xml:space="preserve">This section aggregates the emissions across all lifecycle stages, categorized by GHG Protocol scopes.</w:t>
      </w:r>
    </w:p>
    <w:bookmarkStart w:id="37" w:name="ghg-protocol-scopes-overview"/>
    <w:p>
      <w:pPr>
        <w:pStyle w:val="Heading3"/>
      </w:pPr>
      <w:r>
        <w:t xml:space="preserve">GHG Protocol Scopes Overview</w:t>
      </w:r>
    </w:p>
    <w:p>
      <w:pPr>
        <w:numPr>
          <w:ilvl w:val="0"/>
          <w:numId w:val="1011"/>
        </w:numPr>
        <w:pStyle w:val="Compact"/>
      </w:pPr>
      <w:r>
        <w:rPr>
          <w:bCs/>
          <w:b/>
        </w:rPr>
        <w:t xml:space="preserve">Scope 1: Direct Emissions</w:t>
      </w:r>
      <w:r>
        <w:t xml:space="preserve"> </w:t>
      </w:r>
      <w:r>
        <w:t xml:space="preserve">from owned or controlled sources. For this PCF, direct manufacturing emissions (e.g., from on-site fuel combustion) are assumed negligible or captured within material/energy inputs.</w:t>
      </w:r>
    </w:p>
    <w:p>
      <w:pPr>
        <w:numPr>
          <w:ilvl w:val="0"/>
          <w:numId w:val="1011"/>
        </w:numPr>
        <w:pStyle w:val="Compact"/>
      </w:pPr>
      <w:r>
        <w:rPr>
          <w:bCs/>
          <w:b/>
        </w:rPr>
        <w:t xml:space="preserve">Scope 2: Indirect Emissions</w:t>
      </w:r>
      <w:r>
        <w:t xml:space="preserve"> </w:t>
      </w:r>
      <w:r>
        <w:t xml:space="preserve">from the generation of purchased electricity, steam, heating, and cooling consumed by hhlyewskne for ljftjtmlnq\'s production.</w:t>
      </w:r>
    </w:p>
    <w:p>
      <w:pPr>
        <w:numPr>
          <w:ilvl w:val="0"/>
          <w:numId w:val="1011"/>
        </w:numPr>
        <w:pStyle w:val="Compact"/>
      </w:pPr>
      <w:r>
        <w:rPr>
          <w:bCs/>
          <w:b/>
        </w:rPr>
        <w:t xml:space="preserve">Scope 3: All Other Indirect Emissions</w:t>
      </w:r>
      <w:r>
        <w:t xml:space="preserve"> </w:t>
      </w:r>
      <w:r>
        <w:t xml:space="preserve">that occur in the value chain of hhlyewskne, both upstream and downstream. This includes raw material extraction and processing, upstream transportation, product distribution, product use, and end-of-life treatment.</w:t>
      </w:r>
    </w:p>
    <w:bookmarkEnd w:id="37"/>
    <w:bookmarkStart w:id="38" w:name="X7bb1706115b6f3a7de6c06e94bfbf381e06469d"/>
    <w:p>
      <w:pPr>
        <w:pStyle w:val="Heading3"/>
      </w:pPr>
      <w:r>
        <w:t xml:space="preserve">Total Product Carbon Footprint (PCF) for 1.0 unit of ljftjtmlnq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Raw Materials Acquisition &amp; Processing</w:t>
            </w:r>
          </w:p>
        </w:tc>
        <w:tc>
          <w:tcPr/>
          <w:p>
            <w:pPr>
              <w:pStyle w:val="Compact"/>
            </w:pPr>
          </w:p>
        </w:tc>
        <w:tc>
          <w:tcPr/>
          <w:p>
            <w:pPr>
              <w:pStyle w:val="Compact"/>
              <w:jc w:val="left"/>
            </w:pPr>
            <w:r>
              <w:t xml:space="preserve">Scope 3 (Upstream)</w:t>
            </w:r>
          </w:p>
        </w:tc>
      </w:tr>
      <w:tr>
        <w:tc>
          <w:tcPr/>
          <w:p>
            <w:pPr>
              <w:pStyle w:val="Compact"/>
              <w:jc w:val="left"/>
            </w:pPr>
            <w:r>
              <w:t xml:space="preserve">Manufacturing Production Energy</w:t>
            </w:r>
          </w:p>
        </w:tc>
        <w:tc>
          <w:tcPr/>
          <w:p>
            <w:pPr>
              <w:pStyle w:val="Compact"/>
            </w:pPr>
          </w:p>
        </w:tc>
        <w:tc>
          <w:tcPr/>
          <w:p>
            <w:pPr>
              <w:pStyle w:val="Compact"/>
              <w:jc w:val="left"/>
            </w:pPr>
            <w:r>
              <w:t xml:space="preserve">Scope 2</w:t>
            </w:r>
          </w:p>
        </w:tc>
      </w:tr>
      <w:tr>
        <w:tc>
          <w:tcPr/>
          <w:p>
            <w:pPr>
              <w:pStyle w:val="Compact"/>
              <w:jc w:val="left"/>
            </w:pPr>
            <w:r>
              <w:t xml:space="preserve">Transport (Main - Post Factory Gate)</w:t>
            </w:r>
          </w:p>
        </w:tc>
        <w:tc>
          <w:tcPr/>
          <w:p>
            <w:pPr>
              <w:pStyle w:val="Compact"/>
            </w:pPr>
          </w:p>
        </w:tc>
        <w:tc>
          <w:tcPr/>
          <w:p>
            <w:pPr>
              <w:pStyle w:val="Compact"/>
              <w:jc w:val="left"/>
            </w:pPr>
            <w:r>
              <w:t xml:space="preserve">Scope 3 (Downstream)</w:t>
            </w:r>
          </w:p>
        </w:tc>
      </w:tr>
      <w:tr>
        <w:tc>
          <w:tcPr/>
          <w:p>
            <w:pPr>
              <w:pStyle w:val="Compact"/>
              <w:jc w:val="left"/>
            </w:pPr>
            <w:r>
              <w:t xml:space="preserve">Last-Mile Delivery</w:t>
            </w:r>
          </w:p>
        </w:tc>
        <w:tc>
          <w:tcPr/>
          <w:p>
            <w:pPr>
              <w:pStyle w:val="Compact"/>
            </w:pPr>
          </w:p>
        </w:tc>
        <w:tc>
          <w:tcPr/>
          <w:p>
            <w:pPr>
              <w:pStyle w:val="Compact"/>
              <w:jc w:val="left"/>
            </w:pPr>
            <w:r>
              <w:t xml:space="preserve">Scope 3 (Downstream)</w:t>
            </w:r>
          </w:p>
        </w:tc>
      </w:tr>
      <w:tr>
        <w:tc>
          <w:tcPr/>
          <w:p>
            <w:pPr>
              <w:pStyle w:val="Compact"/>
              <w:jc w:val="left"/>
            </w:pPr>
            <w:r>
              <w:t xml:space="preserve">Product Use Phase</w:t>
            </w:r>
          </w:p>
        </w:tc>
        <w:tc>
          <w:tcPr/>
          <w:p>
            <w:pPr>
              <w:pStyle w:val="Compact"/>
            </w:pPr>
          </w:p>
        </w:tc>
        <w:tc>
          <w:tcPr/>
          <w:p>
            <w:pPr>
              <w:pStyle w:val="Compact"/>
              <w:jc w:val="left"/>
            </w:pPr>
            <w:r>
              <w:t xml:space="preserve">Scope 3 (Downstream)</w:t>
            </w:r>
          </w:p>
        </w:tc>
      </w:tr>
      <w:tr>
        <w:tc>
          <w:tcPr/>
          <w:p>
            <w:pPr>
              <w:pStyle w:val="Compact"/>
              <w:jc w:val="left"/>
            </w:pPr>
            <w:r>
              <w:t xml:space="preserve">End-of-Life (Recycling Credit)</w:t>
            </w:r>
          </w:p>
        </w:tc>
        <w:tc>
          <w:tcPr/>
          <w:p>
            <w:pPr>
              <w:pStyle w:val="Compact"/>
            </w:pPr>
          </w:p>
        </w:tc>
        <w:tc>
          <w:tcPr/>
          <w:p>
            <w:pPr>
              <w:pStyle w:val="Compact"/>
              <w:jc w:val="left"/>
            </w:pPr>
            <w:r>
              <w:t xml:space="preserve">Scope 3 (Downstream)</w:t>
            </w:r>
          </w:p>
        </w:tc>
      </w:tr>
      <w:tr>
        <w:tc>
          <w:tcPr/>
          <w:p>
            <w:pPr>
              <w:pStyle w:val="Compact"/>
              <w:jc w:val="left"/>
            </w:pPr>
            <w:r>
              <w:rPr>
                <w:bCs/>
                <w:b/>
              </w:rPr>
              <w:t xml:space="preserve">Total Product Carbon Footprint (PCF)</w:t>
            </w:r>
          </w:p>
        </w:tc>
        <w:tc>
          <w:tcPr/>
          <w:p>
            <w:pPr>
              <w:pStyle w:val="Compact"/>
              <w:jc w:val="left"/>
            </w:pPr>
            <w:r>
              <w:t xml:space="preserve">kgCO2e</w:t>
            </w:r>
          </w:p>
        </w:tc>
        <w:tc>
          <w:tcPr/>
          <w:p>
            <w:pPr>
              <w:pStyle w:val="Compact"/>
            </w:pPr>
          </w:p>
        </w:tc>
      </w:tr>
    </w:tbl>
    <w:bookmarkEnd w:id="38"/>
    <w:bookmarkStart w:id="39" w:name="ghg-emissions-by-scope"/>
    <w:p>
      <w:pPr>
        <w:pStyle w:val="Heading3"/>
      </w:pPr>
      <w:r>
        <w:t xml:space="preserve">GHG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Scope 1</w:t>
            </w:r>
          </w:p>
        </w:tc>
        <w:tc>
          <w:tcPr/>
          <w:p>
            <w:pPr>
              <w:pStyle w:val="Compact"/>
            </w:pPr>
          </w:p>
        </w:tc>
        <w:tc>
          <w:tcPr/>
          <w:p>
            <w:pPr>
              <w:pStyle w:val="Compact"/>
              <w:jc w:val="left"/>
            </w:pPr>
            <w:r>
              <w:t xml:space="preserve">%</w:t>
            </w:r>
          </w:p>
        </w:tc>
      </w:tr>
      <w:tr>
        <w:tc>
          <w:tcPr/>
          <w:p>
            <w:pPr>
              <w:pStyle w:val="Compact"/>
              <w:jc w:val="left"/>
            </w:pPr>
            <w:r>
              <w:t xml:space="preserve">Scope 2</w:t>
            </w:r>
          </w:p>
        </w:tc>
        <w:tc>
          <w:tcPr/>
          <w:p>
            <w:pPr>
              <w:pStyle w:val="Compact"/>
            </w:pPr>
          </w:p>
        </w:tc>
        <w:tc>
          <w:tcPr/>
          <w:p>
            <w:pPr>
              <w:pStyle w:val="Compact"/>
              <w:jc w:val="left"/>
            </w:pPr>
            <w:r>
              <w:t xml:space="preserve">%</w:t>
            </w:r>
          </w:p>
        </w:tc>
      </w:tr>
      <w:tr>
        <w:tc>
          <w:tcPr/>
          <w:p>
            <w:pPr>
              <w:pStyle w:val="Compact"/>
              <w:jc w:val="left"/>
            </w:pPr>
            <w:r>
              <w:t xml:space="preserve">Scope 3 (Upstream)</w:t>
            </w:r>
          </w:p>
        </w:tc>
        <w:tc>
          <w:tcPr/>
          <w:p>
            <w:pPr>
              <w:pStyle w:val="Compact"/>
            </w:pPr>
          </w:p>
        </w:tc>
        <w:tc>
          <w:tcPr/>
          <w:p>
            <w:pPr>
              <w:pStyle w:val="Compact"/>
              <w:jc w:val="left"/>
            </w:pPr>
            <w:r>
              <w:t xml:space="preserve">%</w:t>
            </w:r>
          </w:p>
        </w:tc>
      </w:tr>
      <w:tr>
        <w:tc>
          <w:tcPr/>
          <w:p>
            <w:pPr>
              <w:pStyle w:val="Compact"/>
              <w:jc w:val="left"/>
            </w:pPr>
            <w:r>
              <w:t xml:space="preserve">Scope 3 (Downstream)</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r>
        <w:tc>
          <w:tcPr/>
          <w:p>
            <w:pPr>
              <w:pStyle w:val="Compact"/>
              <w:jc w:val="left"/>
            </w:pPr>
            <w:r>
              <w:rPr>
                <w:bCs/>
                <w:b/>
              </w:rPr>
              <w:t xml:space="preserve">Total Scope 3 Emissions</w:t>
            </w:r>
          </w:p>
        </w:tc>
        <w:tc>
          <w:tcPr/>
          <w:p>
            <w:pPr>
              <w:pStyle w:val="Compact"/>
            </w:pPr>
          </w:p>
        </w:tc>
        <w:tc>
          <w:tcPr/>
          <w:p>
            <w:pPr>
              <w:pStyle w:val="Compact"/>
              <w:jc w:val="left"/>
            </w:pPr>
            <w:r>
              <w:t xml:space="preserve">%</w:t>
            </w:r>
          </w:p>
        </w:tc>
      </w:tr>
    </w:tbl>
    <w:p>
      <w:pPr>
        <w:pStyle w:val="BodyText"/>
      </w:pPr>
      <w:r>
        <w:t xml:space="preserve">The analysis confirms that Scope 3 emissions account for **%** of the total PCF. This exceeds the 2026 requirement of at least 95% coverage for Scope 3 reporting.</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detailed analysis, the primary emission hotspots for ljftjtmlnq are:</w:t>
      </w:r>
    </w:p>
    <w:p>
      <w:pPr>
        <w:numPr>
          <w:ilvl w:val="0"/>
          <w:numId w:val="1012"/>
        </w:numPr>
        <w:pStyle w:val="Compact"/>
      </w:pPr>
      <w:r>
        <w:rPr>
          <w:bCs/>
          <w:b/>
        </w:rPr>
        <w:t xml:space="preserve">Raw Materials:</w:t>
      </w:r>
      <w:r>
        <w:t xml:space="preserve"> </w:t>
      </w:r>
      <w:r>
        <w:t xml:space="preserve">The acquisition and processing of materials, particularly those with high embodied carbon such as Steel Alloy and Lithium Battery components, represent a significant portion of the upstream Scope 3 emissions.</w:t>
      </w:r>
    </w:p>
    <w:p>
      <w:pPr>
        <w:numPr>
          <w:ilvl w:val="0"/>
          <w:numId w:val="1012"/>
        </w:numPr>
        <w:pStyle w:val="Compact"/>
      </w:pPr>
      <w:r>
        <w:rPr>
          <w:bCs/>
          <w:b/>
        </w:rPr>
        <w:t xml:space="preserve">Product Use Phase:</w:t>
      </w:r>
      <w:r>
        <w:t xml:space="preserve"> </w:t>
      </w:r>
      <w:r>
        <w:t xml:space="preserve">Energy consumption during the product\'s lifespan is a major downstream Scope 3 contributor, underscoring the importance of energy efficiency.</w:t>
      </w:r>
    </w:p>
    <w:p>
      <w:pPr>
        <w:numPr>
          <w:ilvl w:val="0"/>
          <w:numId w:val="1012"/>
        </w:numPr>
        <w:pStyle w:val="Compact"/>
      </w:pPr>
      <w:r>
        <w:rPr>
          <w:bCs/>
          <w:b/>
        </w:rPr>
        <w:t xml:space="preserve">Manufacturing Energy:</w:t>
      </w:r>
      <w:r>
        <w:t xml:space="preserve"> </w:t>
      </w:r>
      <w:r>
        <w:t xml:space="preserve">While partially offset by renewable energy, the remaining grid electricity consumption during production is a notable Scope 2 hotspot.</w:t>
      </w:r>
    </w:p>
    <w:bookmarkEnd w:id="41"/>
    <w:bookmarkStart w:id="42" w:name="reliability-and-limitations"/>
    <w:p>
      <w:pPr>
        <w:pStyle w:val="Heading3"/>
      </w:pPr>
      <w:r>
        <w:t xml:space="preserve">Reliability and Limitations</w:t>
      </w:r>
    </w:p>
    <w:p>
      <w:pPr>
        <w:pStyle w:val="FirstParagraph"/>
      </w:pPr>
      <w:r>
        <w:t xml:space="preserve">The reliability of this PCF analysis is high due to the use of specific primary data (Detailed BOM, energy usage) and industry-standard emission factors. However, certain limitations exist:</w:t>
      </w:r>
    </w:p>
    <w:p>
      <w:pPr>
        <w:numPr>
          <w:ilvl w:val="0"/>
          <w:numId w:val="1013"/>
        </w:numPr>
        <w:pStyle w:val="Compact"/>
      </w:pPr>
      <w:r>
        <w:rPr>
          <w:bCs/>
          <w:b/>
        </w:rPr>
        <w:t xml:space="preserve">Secondary Data Reliance:</w:t>
      </w:r>
      <w:r>
        <w:t xml:space="preserve"> </w:t>
      </w:r>
      <w:r>
        <w:t xml:space="preserve">While BOM data is specific, generic emission factors (e.g., for transport modes, global grid mix for use phase) are used as proxies where product-specific or supplier-specific data were not available.</w:t>
      </w:r>
    </w:p>
    <w:p>
      <w:pPr>
        <w:numPr>
          <w:ilvl w:val="0"/>
          <w:numId w:val="1013"/>
        </w:numPr>
        <w:pStyle w:val="Compact"/>
      </w:pPr>
      <w:r>
        <w:rPr>
          <w:bCs/>
          <w:b/>
        </w:rPr>
        <w:t xml:space="preserve">Assumptions:</w:t>
      </w:r>
      <w:r>
        <w:t xml:space="preserve"> </w:t>
      </w:r>
      <w:r>
        <w:t xml:space="preserve">Assumptions regarding transport distances, mode splits (ocean/road), and a generic last-mile distance have been made. The recycling credit factor is a conservative estimate.</w:t>
      </w:r>
    </w:p>
    <w:p>
      <w:pPr>
        <w:numPr>
          <w:ilvl w:val="0"/>
          <w:numId w:val="1013"/>
        </w:numPr>
        <w:pStyle w:val="Compact"/>
      </w:pPr>
      <w:r>
        <w:rPr>
          <w:bCs/>
          <w:b/>
        </w:rPr>
        <w:t xml:space="preserve">LSR Standard:</w:t>
      </w:r>
      <w:r>
        <w:t xml:space="preserve"> </w:t>
      </w:r>
      <w:r>
        <w:t xml:space="preserve">Direct quantification of land-use change emissions or removals under the 2026 LSR Standard is not performed due to the absence of specific data in the provided parameters. The framework is acknowledged.</w:t>
      </w:r>
    </w:p>
    <w:bookmarkEnd w:id="42"/>
    <w:bookmarkStart w:id="43" w:name="recommendations-for-hhlyewskne"/>
    <w:p>
      <w:pPr>
        <w:pStyle w:val="Heading3"/>
      </w:pPr>
      <w:r>
        <w:t xml:space="preserve">Recommendations for hhlyewskne</w:t>
      </w:r>
    </w:p>
    <w:p>
      <w:pPr>
        <w:pStyle w:val="FirstParagraph"/>
      </w:pPr>
      <w:r>
        <w:t xml:space="preserve">To further reduce the Product Carbon Footprint of ljftjtmlnq, hhlyewskne should consider the following recommendations:</w:t>
      </w:r>
    </w:p>
    <w:p>
      <w:pPr>
        <w:numPr>
          <w:ilvl w:val="0"/>
          <w:numId w:val="1014"/>
        </w:numPr>
        <w:pStyle w:val="Compact"/>
      </w:pPr>
      <w:r>
        <w:rPr>
          <w:bCs/>
          <w:b/>
        </w:rPr>
        <w:t xml:space="preserve">Material Optimization:</w:t>
      </w:r>
      <w:r>
        <w:t xml:space="preserve"> </w:t>
      </w:r>
      <w:r>
        <w:t xml:space="preserve">Investigate opportunities for using lower-carbon alternatives for high-impact materials (e.g., recycled content for Steel Alloy, alternative battery chemistries) and optimize material usage to reduce overall mass.</w:t>
      </w:r>
    </w:p>
    <w:p>
      <w:pPr>
        <w:numPr>
          <w:ilvl w:val="0"/>
          <w:numId w:val="1014"/>
        </w:numPr>
        <w:pStyle w:val="Compact"/>
      </w:pPr>
      <w:r>
        <w:rPr>
          <w:bCs/>
          <w:b/>
        </w:rPr>
        <w:t xml:space="preserve">Enhanced Renewable Energy Sourcing:</w:t>
      </w:r>
      <w:r>
        <w:t xml:space="preserve"> </w:t>
      </w:r>
      <w:r>
        <w:t xml:space="preserve">Increase the percentage of renewable energy used in manufacturing beyond the current</w:t>
      </w:r>
    </w:p>
    <w:p>
      <w:pPr>
        <w:numPr>
          <w:ilvl w:val="0"/>
          <w:numId w:val="1000"/>
        </w:numPr>
        <w:pStyle w:val="Compact"/>
      </w:pPr>
      <w:r>
        <w:t xml:space="preserve">% through direct purchasing, on-site generation, or renewable energy certificates.</w:t>
      </w:r>
    </w:p>
    <w:p>
      <w:pPr>
        <w:numPr>
          <w:ilvl w:val="0"/>
          <w:numId w:val="1014"/>
        </w:numPr>
        <w:pStyle w:val="Compact"/>
      </w:pPr>
      <w:r>
        <w:rPr>
          <w:bCs/>
          <w:b/>
        </w:rPr>
        <w:t xml:space="preserve">Supply Chain Engagement:</w:t>
      </w:r>
      <w:r>
        <w:t xml:space="preserve"> </w:t>
      </w:r>
      <w:r>
        <w:t xml:space="preserve">Collaborate with key suppliers to obtain primary emission data for raw materials and inbound logistics, enabling more precise Scope 3 calculations and targeted emission reductions.</w:t>
      </w:r>
    </w:p>
    <w:p>
      <w:pPr>
        <w:numPr>
          <w:ilvl w:val="0"/>
          <w:numId w:val="1014"/>
        </w:numPr>
        <w:pStyle w:val="Compact"/>
      </w:pPr>
      <w:r>
        <w:rPr>
          <w:bCs/>
          <w:b/>
        </w:rPr>
        <w:t xml:space="preserve">Energy Efficiency in Use:</w:t>
      </w:r>
      <w:r>
        <w:t xml:space="preserve"> </w:t>
      </w:r>
      <w:r>
        <w:t xml:space="preserve">Explore design improvements for ljftjtmlnq to reduce its energy consumption during the use phase, or offer guidance to end-users on energy-efficient operation.</w:t>
      </w:r>
    </w:p>
    <w:p>
      <w:pPr>
        <w:numPr>
          <w:ilvl w:val="0"/>
          <w:numId w:val="1014"/>
        </w:numPr>
        <w:pStyle w:val="Compact"/>
      </w:pPr>
      <w:r>
        <w:rPr>
          <w:bCs/>
          <w:b/>
        </w:rPr>
        <w:t xml:space="preserve">Circular Economy Initiatives:</w:t>
      </w:r>
      <w:r>
        <w:t xml:space="preserve"> </w:t>
      </w:r>
      <w:r>
        <w:t xml:space="preserve">Expand and promote the existing</w:t>
      </w:r>
    </w:p>
    <w:p>
      <w:pPr>
        <w:numPr>
          <w:ilvl w:val="0"/>
          <w:numId w:val="1000"/>
        </w:numPr>
        <w:pStyle w:val="Compact"/>
      </w:pPr>
      <w:r>
        <w:t xml:space="preserve">program to maximize product lifespan, repairability, and actual recycling rates, potentially increasing the end-of-life credit.</w:t>
      </w:r>
    </w:p>
    <w:p>
      <w:pPr>
        <w:numPr>
          <w:ilvl w:val="0"/>
          <w:numId w:val="1014"/>
        </w:numPr>
        <w:pStyle w:val="Compact"/>
      </w:pPr>
      <w:r>
        <w:rPr>
          <w:bCs/>
          <w:b/>
        </w:rPr>
        <w:t xml:space="preserve">Transport Optimization:</w:t>
      </w:r>
      <w:r>
        <w:t xml:space="preserve"> </w:t>
      </w:r>
      <w:r>
        <w:t xml:space="preserve">Explore more efficient transport modes (e.g., rail instead of road where feasible for European legs) and optimize logistics routes and load factors to minimize transport emissions.</w:t>
      </w:r>
    </w:p>
    <w:p>
      <w:r>
        <w:pict>
          <v:rect style="width:0;height:1.5pt" o:hralign="center" o:hrstd="t" o:hr="t"/>
        </w:pict>
      </w:r>
    </w:p>
    <w:bookmarkEnd w:id="43"/>
    <w:bookmarkEnd w:id="44"/>
    <w:bookmarkStart w:id="45" w:name="conclusion"/>
    <w:p>
      <w:pPr>
        <w:pStyle w:val="Heading2"/>
      </w:pPr>
      <w:r>
        <w:t xml:space="preserve">Conclusion</w:t>
      </w:r>
    </w:p>
    <w:p>
      <w:pPr>
        <w:pStyle w:val="FirstParagraph"/>
      </w:pPr>
      <w:r>
        <w:t xml:space="preserve">This comprehensive Product Carbon Footprint analysis provides hhlyewskne with a clear understanding of ljftjtmlnq\'s environmental impact across its lifecycle. The total PCF of ** kgCO2e** per unit highlights significant emission hotspots in raw materials, manufacturing energy, and the use phase. By implementing the recommended strategies, hhlyewskne can proactively manage and reduce the carbon footprint of ljftjtmlnq, aligning with global sustainability goals and strengthening its commitment to environmental stewardship.</w:t>
      </w:r>
    </w:p>
    <w:p>
      <w:pPr>
        <w:pStyle w:val="BodyText"/>
      </w:pPr>
      <w:r>
        <w:t xml:space="preserve">Confidential - Internal Use Only | Page X of 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ljftjtmlnq</dc:title>
  <dc:creator/>
  <dc:description>High-detail Product Carbon Footprint (PCF) analysis report for product ljftjtmlnq, performed by ijifnutvwo for hhlyewskne, adhering to GHG Protocol and 2026 LSR update.</dc:description>
  <dc:language>en</dc:language>
  <cp:keywords/>
  <dcterms:created xsi:type="dcterms:W3CDTF">2026-05-30T19:49:50Z</dcterms:created>
  <dcterms:modified xsi:type="dcterms:W3CDTF">2026-05-30T19:49:50Z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