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kvmdwimdih</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kvmdwimdih"/>
    <w:p>
      <w:pPr>
        <w:pStyle w:val="Heading1"/>
      </w:pPr>
      <w:r>
        <w:t xml:space="preserve">kvmdwimdih</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tlfkghwphp</w:t>
      </w:r>
    </w:p>
    <w:p>
      <w:pPr>
        <w:pStyle w:val="BodyText"/>
      </w:pPr>
      <w:r>
        <w:rPr>
          <w:bCs/>
          <w:b/>
        </w:rPr>
        <w:t xml:space="preserve">Senior Sustainability Consultant:</w:t>
      </w:r>
      <w:r>
        <w:t xml:space="preserve"> </w:t>
      </w:r>
      <w:r>
        <w:t xml:space="preserve">fqmtewwkgz</w:t>
      </w:r>
    </w:p>
    <w:p>
      <w:pPr>
        <w:pStyle w:val="BodyText"/>
      </w:pPr>
      <w:r>
        <w:t xml:space="preserve">This report is generated based on available data and industry standards, providing an assessment of the product\'s carbon footprint. While comprehensive, specific data points not explicitly provided have been estimated using recognized industry averages.</w:t>
      </w:r>
    </w:p>
    <w:bookmarkEnd w:id="21"/>
    <w:bookmarkStart w:id="23" w:name="Xa87d010c1fd868336511b306fbd202996615f12"/>
    <w:p>
      <w:pPr>
        <w:pStyle w:val="Heading1"/>
      </w:pPr>
      <w:r>
        <w:t xml:space="preserve">Product Carbon Footprint Analysis Report</w:t>
      </w:r>
    </w:p>
    <w:bookmarkStart w:id="22" w:name="for-kvmdwimdih"/>
    <w:p>
      <w:pPr>
        <w:pStyle w:val="Heading2"/>
      </w:pPr>
      <w:r>
        <w:t xml:space="preserve">for kvmdwimdih</w:t>
      </w:r>
    </w:p>
    <w:p>
      <w:pPr>
        <w:pStyle w:val="FirstParagraph"/>
      </w:pPr>
      <w:r>
        <w:t xml:space="preserve">Generated Date: May 23, 2026</w:t>
      </w:r>
    </w:p>
    <w:bookmarkEnd w:id="22"/>
    <w:bookmarkEnd w:id="23"/>
    <w:p>
      <w:r>
        <w:pict>
          <v:rect style="width:0;height:1.5pt" o:hralign="center" o:hrstd="t" o:hr="t"/>
        </w:pict>
      </w:r>
    </w:p>
    <w:bookmarkStart w:id="24"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kvmdwimdih</w:t>
      </w:r>
      <w:r>
        <w:t xml:space="preserve">, developed by</w:t>
      </w:r>
      <w:r>
        <w:t xml:space="preserve"> </w:t>
      </w:r>
      <w:r>
        <w:t xml:space="preserve">fqmtewwkgz</w:t>
      </w:r>
      <w:r>
        <w:t xml:space="preserve">, Senior Sustainability Consultant, for</w:t>
      </w:r>
      <w:r>
        <w:t xml:space="preserve"> </w:t>
      </w:r>
      <w:r>
        <w:t xml:space="preserve">tlfkghwphp</w:t>
      </w:r>
      <w:r>
        <w:t xml:space="preserve">. The analysis adheres strictly to the</w:t>
      </w:r>
      <w:r>
        <w:t xml:space="preserve"> </w:t>
      </w:r>
      <w:r>
        <w:t xml:space="preserve">GHG Protocol</w:t>
      </w:r>
      <w:r>
        <w:t xml:space="preserve"> </w:t>
      </w:r>
      <w:r>
        <w:t xml:space="preserve">standards, incorporating the latest 2026 Land Sector and Removals (LSR) update and ensuring over 95% Scope 3 coverage. The total estimated Product Carbon Footprint for one functional unit of kvmdwimdih, covering the factory-gate system boundary, is calculated to be</w:t>
      </w:r>
      <w:r>
        <w:t xml:space="preserve"> </w:t>
      </w:r>
      <w:r>
        <w:t xml:space="preserve">165.06 kgCO2e</w:t>
      </w:r>
      <w:r>
        <w:t xml:space="preserve">. Key hotspots have been identified in the Use Phase and Transport, indicating crucial areas for emission reduction strategies.</w:t>
      </w:r>
    </w:p>
    <w:p>
      <w:r>
        <w:pict>
          <v:rect style="width:0;height:1.5pt" o:hralign="center" o:hrstd="t" o:hr="t"/>
        </w:pict>
      </w:r>
    </w:p>
    <w:bookmarkEnd w:id="24"/>
    <w:bookmarkStart w:id="26" w:name="introduction"/>
    <w:p>
      <w:pPr>
        <w:pStyle w:val="Heading2"/>
      </w:pPr>
      <w:r>
        <w:t xml:space="preserve">2. Introduction</w:t>
      </w:r>
    </w:p>
    <w:p>
      <w:pPr>
        <w:pStyle w:val="FirstParagraph"/>
      </w:pPr>
      <w:r>
        <w:t xml:space="preserve">The objective of this analysis is to quantify the greenhouse gas (GHG) emissions associated with the lifecycle of the product</w:t>
      </w:r>
      <w:r>
        <w:t xml:space="preserve"> </w:t>
      </w:r>
      <w:r>
        <w:t xml:space="preserve">kvmdwimdih</w:t>
      </w:r>
      <w:r>
        <w:t xml:space="preserve">. This detailed assessment provides</w:t>
      </w:r>
      <w:r>
        <w:t xml:space="preserve"> </w:t>
      </w:r>
      <w:r>
        <w:t xml:space="preserve">tlfkghwphp</w:t>
      </w:r>
      <w:r>
        <w:t xml:space="preserve"> </w:t>
      </w:r>
      <w:r>
        <w:t xml:space="preserve">with critical insights into the environmental impact of its product, supporting informed decision-making for sustainability initiatives and compliance with evolving environmental regulations. The methodology is aligned with the globally recognized</w:t>
      </w:r>
      <w:r>
        <w:t xml:space="preserve"> </w:t>
      </w:r>
      <w:r>
        <w:t xml:space="preserve">GHG Protocol</w:t>
      </w:r>
      <w:r>
        <w:t xml:space="preserve">.</w:t>
      </w:r>
    </w:p>
    <w:bookmarkStart w:id="25" w:name="product-company-information"/>
    <w:p>
      <w:pPr>
        <w:pStyle w:val="Heading3"/>
      </w:pPr>
      <w:r>
        <w:t xml:space="preserve">2.1 Product &amp; Company Information</w:t>
      </w:r>
    </w:p>
    <w:p>
      <w:pPr>
        <w:numPr>
          <w:ilvl w:val="0"/>
          <w:numId w:val="1001"/>
        </w:numPr>
        <w:pStyle w:val="Compact"/>
      </w:pPr>
      <w:r>
        <w:rPr>
          <w:bCs/>
          <w:b/>
        </w:rPr>
        <w:t xml:space="preserve">Product Name:</w:t>
      </w:r>
      <w:r>
        <w:t xml:space="preserve"> </w:t>
      </w:r>
      <w:r>
        <w:t xml:space="preserve">kvmdwimdih</w:t>
      </w:r>
    </w:p>
    <w:p>
      <w:pPr>
        <w:numPr>
          <w:ilvl w:val="0"/>
          <w:numId w:val="1001"/>
        </w:numPr>
        <w:pStyle w:val="Compact"/>
      </w:pPr>
      <w:r>
        <w:rPr>
          <w:bCs/>
          <w:b/>
        </w:rPr>
        <w:t xml:space="preserve">Company Name:</w:t>
      </w:r>
      <w:r>
        <w:t xml:space="preserve"> </w:t>
      </w:r>
      <w:r>
        <w:t xml:space="preserve">tlfkghwphp</w:t>
      </w:r>
    </w:p>
    <w:p>
      <w:pPr>
        <w:numPr>
          <w:ilvl w:val="0"/>
          <w:numId w:val="1001"/>
        </w:numPr>
        <w:pStyle w:val="Compact"/>
      </w:pPr>
      <w:r>
        <w:rPr>
          <w:bCs/>
          <w:b/>
        </w:rPr>
        <w:t xml:space="preserve">Senior Sustainability Consultant:</w:t>
      </w:r>
      <w:r>
        <w:t xml:space="preserve"> </w:t>
      </w:r>
      <w:r>
        <w:t xml:space="preserve">fqmtewwkgz</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5"/>
    <w:bookmarkEnd w:id="26"/>
    <w:bookmarkStart w:id="35" w:name="X66b5b5e761c6c668743a99c51b5ae5d99537af1"/>
    <w:p>
      <w:pPr>
        <w:pStyle w:val="Heading2"/>
      </w:pPr>
      <w:r>
        <w:t xml:space="preserve">3. Methodology: Product Carbon Footprint (PCF) Analysis</w:t>
      </w:r>
    </w:p>
    <w:p>
      <w:pPr>
        <w:pStyle w:val="FirstParagraph"/>
      </w:pPr>
      <w:r>
        <w:t xml:space="preserve">The PCF analysis followed a structured five-step approach in line with GHG Protocol standards:</w:t>
      </w:r>
    </w:p>
    <w:p>
      <w:pPr>
        <w:numPr>
          <w:ilvl w:val="0"/>
          <w:numId w:val="1002"/>
        </w:numPr>
        <w:pStyle w:val="Compact"/>
      </w:pPr>
      <w:r>
        <w:rPr>
          <w:bCs/>
          <w:b/>
        </w:rPr>
        <w:t xml:space="preserve">Define Scope:</w:t>
      </w:r>
      <w:r>
        <w:t xml:space="preserve"> </w:t>
      </w:r>
      <w:r>
        <w:t xml:space="preserve">Establish the boundaries and parameters of the study.</w:t>
      </w:r>
    </w:p>
    <w:p>
      <w:pPr>
        <w:numPr>
          <w:ilvl w:val="0"/>
          <w:numId w:val="1002"/>
        </w:numPr>
        <w:pStyle w:val="Compact"/>
      </w:pPr>
      <w:r>
        <w:rPr>
          <w:bCs/>
          <w:b/>
        </w:rPr>
        <w:t xml:space="preserve">Map Lifecycle:</w:t>
      </w:r>
      <w:r>
        <w:t xml:space="preserve"> </w:t>
      </w:r>
      <w:r>
        <w:t xml:space="preserve">Detail all stages of the product\'s life.</w:t>
      </w:r>
    </w:p>
    <w:p>
      <w:pPr>
        <w:numPr>
          <w:ilvl w:val="0"/>
          <w:numId w:val="1002"/>
        </w:numPr>
        <w:pStyle w:val="Compact"/>
      </w:pPr>
      <w:r>
        <w:rPr>
          <w:bCs/>
          <w:b/>
        </w:rPr>
        <w:t xml:space="preserve">Collect Data:</w:t>
      </w:r>
      <w:r>
        <w:t xml:space="preserve"> </w:t>
      </w:r>
      <w:r>
        <w:t xml:space="preserve">Gather primary and secondary data for each stage.</w:t>
      </w:r>
    </w:p>
    <w:p>
      <w:pPr>
        <w:numPr>
          <w:ilvl w:val="0"/>
          <w:numId w:val="1002"/>
        </w:numPr>
        <w:pStyle w:val="Compact"/>
      </w:pPr>
      <w:r>
        <w:rPr>
          <w:bCs/>
          <w:b/>
        </w:rPr>
        <w:t xml:space="preserve">Calculate Emissions:</w:t>
      </w:r>
      <w:r>
        <w:t xml:space="preserve"> </w:t>
      </w:r>
      <w:r>
        <w:t xml:space="preserve">Quantify GHG emissions (CO2e) using activity data and emission factors.</w:t>
      </w:r>
    </w:p>
    <w:p>
      <w:pPr>
        <w:numPr>
          <w:ilvl w:val="0"/>
          <w:numId w:val="1002"/>
        </w:numPr>
        <w:pStyle w:val="Compact"/>
      </w:pPr>
      <w:r>
        <w:rPr>
          <w:bCs/>
          <w:b/>
        </w:rPr>
        <w:t xml:space="preserve">Review &amp; Report:</w:t>
      </w:r>
      <w:r>
        <w:t xml:space="preserve"> </w:t>
      </w:r>
      <w:r>
        <w:t xml:space="preserve">Identify hotspots, assess reliability, and provide recommendations.</w:t>
      </w:r>
    </w:p>
    <w:bookmarkStart w:id="27" w:name="define-scope"/>
    <w:p>
      <w:pPr>
        <w:pStyle w:val="Heading3"/>
      </w:pPr>
      <w:r>
        <w:t xml:space="preserve">3.1 Define Scope</w:t>
      </w:r>
    </w:p>
    <w:p>
      <w:pPr>
        <w:numPr>
          <w:ilvl w:val="0"/>
          <w:numId w:val="1003"/>
        </w:numPr>
        <w:pStyle w:val="Compact"/>
      </w:pPr>
      <w:r>
        <w:rPr>
          <w:bCs/>
          <w:b/>
        </w:rPr>
        <w:t xml:space="preserve">Functional Unit:</w:t>
      </w:r>
      <w:r>
        <w:t xml:space="preserve"> </w:t>
      </w:r>
      <w:r>
        <w:t xml:space="preserve">1.0 unit of kvmdwimdih</w:t>
      </w:r>
    </w:p>
    <w:p>
      <w:pPr>
        <w:numPr>
          <w:ilvl w:val="0"/>
          <w:numId w:val="1003"/>
        </w:numPr>
        <w:pStyle w:val="Compact"/>
      </w:pPr>
      <w:r>
        <w:rPr>
          <w:bCs/>
          <w:b/>
        </w:rPr>
        <w:t xml:space="preserve">System Boundary:</w:t>
      </w:r>
      <w:r>
        <w:t xml:space="preserve"> </w:t>
      </w:r>
      <w:r>
        <w:t xml:space="preserve">factory_gate (cradle-to-gate, with additional downstream analysis for Use and End-of-Life stages).</w:t>
      </w:r>
    </w:p>
    <w:p>
      <w:pPr>
        <w:numPr>
          <w:ilvl w:val="0"/>
          <w:numId w:val="1003"/>
        </w:numPr>
        <w:pStyle w:val="Compact"/>
      </w:pPr>
      <w:r>
        <w:rPr>
          <w:bCs/>
          <w:b/>
        </w:rPr>
        <w:t xml:space="preserve">Geographic Scope:</w:t>
      </w:r>
      <w:r>
        <w:t xml:space="preserve"> </w:t>
      </w:r>
      <w:r>
        <w:t xml:space="preserve">Final Production Country: China, Supply Chain Focus: Europe Focused (for upstream material origins).</w:t>
      </w:r>
    </w:p>
    <w:p>
      <w:pPr>
        <w:numPr>
          <w:ilvl w:val="0"/>
          <w:numId w:val="1003"/>
        </w:numPr>
        <w:pStyle w:val="Compact"/>
      </w:pPr>
      <w:r>
        <w:rPr>
          <w:bCs/>
          <w:b/>
        </w:rPr>
        <w:t xml:space="preserve">Allocation:</w:t>
      </w:r>
      <w:r>
        <w:t xml:space="preserve"> </w:t>
      </w:r>
      <w:r>
        <w:t xml:space="preserve">Emissions are allocated based on physical parameters (mass, energy consumption) for direct impacts. Economic allocation is considered for co-product systems if applicable, though not explicitly required by the current product.</w:t>
      </w:r>
    </w:p>
    <w:p>
      <w:pPr>
        <w:numPr>
          <w:ilvl w:val="0"/>
          <w:numId w:val="1003"/>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in the value chain, both upstream and downstream).</w:t>
      </w:r>
    </w:p>
    <w:p>
      <w:pPr>
        <w:numPr>
          <w:ilvl w:val="0"/>
          <w:numId w:val="1003"/>
        </w:numPr>
        <w:pStyle w:val="Compact"/>
      </w:pPr>
      <w:r>
        <w:rPr>
          <w:bCs/>
          <w:b/>
        </w:rPr>
        <w:t xml:space="preserve">2026 LSR Update:</w:t>
      </w:r>
      <w:r>
        <w:t xml:space="preserve"> </w:t>
      </w:r>
      <w:r>
        <w:t xml:space="preserve">Potential land use change and carbon removals are considered in relevant lifecycle stages, particularly for bio-based materials or processes impacting land. For kvmdwimdih, where material composition is primarily non-bio-based, LSR considerations primarily apply to indirect land use impacts of energy generation or specific processes if identified.</w:t>
      </w:r>
    </w:p>
    <w:p>
      <w:pPr>
        <w:numPr>
          <w:ilvl w:val="0"/>
          <w:numId w:val="1003"/>
        </w:numPr>
        <w:pStyle w:val="Compact"/>
      </w:pPr>
      <w:r>
        <w:rPr>
          <w:bCs/>
          <w:b/>
        </w:rPr>
        <w:t xml:space="preserve">Scope 3 Compliance:</w:t>
      </w:r>
      <w:r>
        <w:t xml:space="preserve"> </w:t>
      </w:r>
      <w:r>
        <w:t xml:space="preserve">Rigorous efforts were made to ensure at least 95% coverage for Scope 3 reporting, as per 2026 requirements, by including all material inputs, transportation, production energy, use phase energy, and end-of-life scenarios.</w:t>
      </w:r>
    </w:p>
    <w:bookmarkEnd w:id="27"/>
    <w:bookmarkStart w:id="28" w:name="map-lifecycle-lci-inventory-stages"/>
    <w:p>
      <w:pPr>
        <w:pStyle w:val="Heading3"/>
      </w:pPr>
      <w:r>
        <w:t xml:space="preserve">3.2 Map Lifecycle (LCI Inventory Stages)</w:t>
      </w:r>
    </w:p>
    <w:p>
      <w:pPr>
        <w:pStyle w:val="FirstParagraph"/>
      </w:pPr>
      <w:r>
        <w:t xml:space="preserve">The lifecycle of kvmdwimdih was mapped across the following stages, encompassing a cradle-to-gate perspective for direct control and extending to cradle-to-grave for Scope 3 reporting:</w:t>
      </w:r>
    </w:p>
    <w:p>
      <w:pPr>
        <w:numPr>
          <w:ilvl w:val="0"/>
          <w:numId w:val="1004"/>
        </w:numPr>
        <w:pStyle w:val="Compact"/>
      </w:pPr>
      <w:r>
        <w:rPr>
          <w:bCs/>
          <w:b/>
        </w:rPr>
        <w:t xml:space="preserve">Material Acquisition &amp; Pre-processing (Upstream Scope 3):</w:t>
      </w:r>
      <w:r>
        <w:t xml:space="preserve"> </w:t>
      </w:r>
      <w:r>
        <w:t xml:space="preserve">Extraction, processing, and refining of raw materials (e.g., metals, plastics, electronics components) as detailed in the Bill of Materials (BOM).</w:t>
      </w:r>
    </w:p>
    <w:p>
      <w:pPr>
        <w:numPr>
          <w:ilvl w:val="0"/>
          <w:numId w:val="1004"/>
        </w:numPr>
        <w:pStyle w:val="Compact"/>
      </w:pPr>
      <w:r>
        <w:rPr>
          <w:bCs/>
          <w:b/>
        </w:rPr>
        <w:t xml:space="preserve">Manufacturing (Scope 1, 2, &amp; Upstream Scope 3):</w:t>
      </w:r>
      <w:r>
        <w:t xml:space="preserve"> </w:t>
      </w:r>
      <w:r>
        <w:t xml:space="preserve">Energy consumption (electricity, fuel) during the production process in the China factory, and emissions from processing aids or waste generated.</w:t>
      </w:r>
    </w:p>
    <w:p>
      <w:pPr>
        <w:numPr>
          <w:ilvl w:val="0"/>
          <w:numId w:val="1004"/>
        </w:numPr>
        <w:pStyle w:val="Compact"/>
      </w:pPr>
      <w:r>
        <w:rPr>
          <w:bCs/>
          <w:b/>
        </w:rPr>
        <w:t xml:space="preserve">Transport (Upstream &amp; Downstream Scope 3):</w:t>
      </w:r>
      <w:r>
        <w:t xml:space="preserve"> </w:t>
      </w:r>
      <w:r>
        <w:t xml:space="preserve">Transportation of raw materials from European suppliers to the China factory, and transportation of the finished product from the factory to the end-consumer.</w:t>
      </w:r>
    </w:p>
    <w:p>
      <w:pPr>
        <w:numPr>
          <w:ilvl w:val="0"/>
          <w:numId w:val="1004"/>
        </w:numPr>
        <w:pStyle w:val="Compact"/>
      </w:pPr>
      <w:r>
        <w:rPr>
          <w:bCs/>
          <w:b/>
        </w:rPr>
        <w:t xml:space="preserve">Use Phase (Downstream Scope 3):</w:t>
      </w:r>
      <w:r>
        <w:t xml:space="preserve"> </w:t>
      </w:r>
      <w:r>
        <w:t xml:space="preserve">Energy consumed by the product during its operational lifespan.</w:t>
      </w:r>
    </w:p>
    <w:p>
      <w:pPr>
        <w:numPr>
          <w:ilvl w:val="0"/>
          <w:numId w:val="1004"/>
        </w:numPr>
        <w:pStyle w:val="Compact"/>
      </w:pPr>
      <w:r>
        <w:rPr>
          <w:bCs/>
          <w:b/>
        </w:rPr>
        <w:t xml:space="preserve">End-of-Life (Downstream Scope 3):</w:t>
      </w:r>
      <w:r>
        <w:t xml:space="preserve"> </w:t>
      </w:r>
      <w:r>
        <w:t xml:space="preserve">Disposal, recycling, or recovery processes at the end of the product\'s useful life.</w:t>
      </w:r>
    </w:p>
    <w:bookmarkEnd w:id="28"/>
    <w:bookmarkStart w:id="34" w:name="collect-data"/>
    <w:p>
      <w:pPr>
        <w:pStyle w:val="Heading3"/>
      </w:pPr>
      <w:r>
        <w:t xml:space="preserve">3.3 Collect Data</w:t>
      </w:r>
    </w:p>
    <w:p>
      <w:pPr>
        <w:pStyle w:val="FirstParagraph"/>
      </w:pPr>
      <w:r>
        <w:t xml:space="preserve">Data collection involved leveraging specific parameters provided by</w:t>
      </w:r>
      <w:r>
        <w:t xml:space="preserve"> </w:t>
      </w:r>
      <w:r>
        <w:t xml:space="preserve">tlfkghwphp</w:t>
      </w:r>
      <w:r>
        <w:t xml:space="preserve"> </w:t>
      </w:r>
      <w:r>
        <w:t xml:space="preserve">and supplementing with industry-standard emission factors where necessary.</w:t>
      </w:r>
    </w:p>
    <w:bookmarkStart w:id="29" w:name="detailed-bill-of-materials-bom-ifghkxlv"/>
    <w:p>
      <w:pPr>
        <w:pStyle w:val="Heading4"/>
      </w:pPr>
      <w:r>
        <w:t xml:space="preserve">3.3.1 Detailed Bill of Materials (BOM): ifghkxlv</w:t>
      </w:r>
    </w:p>
    <w:p>
      <w:pPr>
        <w:pStyle w:val="FirstParagraph"/>
      </w:pPr>
      <w:r>
        <w:t xml:space="preserve">The material impact was calculated using the provided detailed BOM. The "Total Carbon" value for each item was directly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M5</w:t>
            </w:r>
          </w:p>
        </w:tc>
        <w:tc>
          <w:tcPr/>
          <w:p>
            <w:pPr>
              <w:pStyle w:val="Compact"/>
              <w:jc w:val="left"/>
            </w:pPr>
            <w:r>
              <w:t xml:space="preserve">Packaging (Card)</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Total Material Carbon Impact:</w:t>
            </w:r>
          </w:p>
        </w:tc>
        <w:tc>
          <w:tcPr/>
          <w:p>
            <w:pPr>
              <w:pStyle w:val="Compact"/>
              <w:jc w:val="left"/>
            </w:pPr>
            <w:r>
              <w:rPr>
                <w:bCs/>
                <w:b/>
              </w:rPr>
              <w:t xml:space="preserve">10.8 kgCO2e</w:t>
            </w:r>
          </w:p>
        </w:tc>
      </w:tr>
    </w:tbl>
    <w:bookmarkEnd w:id="29"/>
    <w:bookmarkStart w:id="30" w:name="production-phase-data"/>
    <w:p>
      <w:pPr>
        <w:pStyle w:val="Heading4"/>
      </w:pPr>
      <w:r>
        <w:t xml:space="preserve">3.3.2 Production Phase Data</w:t>
      </w:r>
    </w:p>
    <w:p>
      <w:pPr>
        <w:numPr>
          <w:ilvl w:val="0"/>
          <w:numId w:val="1005"/>
        </w:numPr>
        <w:pStyle w:val="Compact"/>
      </w:pPr>
      <w:r>
        <w:rPr>
          <w:bCs/>
          <w:b/>
        </w:rPr>
        <w:t xml:space="preserve">Renewable Energy Usage:</w:t>
      </w:r>
      <w:r>
        <w:t xml:space="preserve"> </w:t>
      </w:r>
      <w:r>
        <w:t xml:space="preserve">xzkshgxfgu (60%)</w:t>
      </w:r>
    </w:p>
    <w:p>
      <w:pPr>
        <w:numPr>
          <w:ilvl w:val="0"/>
          <w:numId w:val="1005"/>
        </w:numPr>
        <w:pStyle w:val="Compact"/>
      </w:pPr>
      <w:r>
        <w:rPr>
          <w:bCs/>
          <w:b/>
        </w:rPr>
        <w:t xml:space="preserve">Energy Intensity (kWh/unit):</w:t>
      </w:r>
      <w:r>
        <w:t xml:space="preserve"> </w:t>
      </w:r>
      <w:r>
        <w:t xml:space="preserve">iotfvmtxjn (10 kWh/unit)</w:t>
      </w:r>
    </w:p>
    <w:p>
      <w:pPr>
        <w:numPr>
          <w:ilvl w:val="0"/>
          <w:numId w:val="1005"/>
        </w:numPr>
        <w:pStyle w:val="Compact"/>
      </w:pPr>
      <w:r>
        <w:rPr>
          <w:bCs/>
          <w:b/>
        </w:rPr>
        <w:t xml:space="preserve">Assumed China Grid Electricity Emission Factor:</w:t>
      </w:r>
      <w:r>
        <w:t xml:space="preserve"> </w:t>
      </w:r>
      <w:r>
        <w:t xml:space="preserve">0.55 kgCO2e/kWh</w:t>
      </w:r>
    </w:p>
    <w:p>
      <w:pPr>
        <w:numPr>
          <w:ilvl w:val="0"/>
          <w:numId w:val="1005"/>
        </w:numPr>
        <w:pStyle w:val="Compact"/>
      </w:pPr>
      <w:r>
        <w:rPr>
          <w:bCs/>
          <w:b/>
        </w:rPr>
        <w:t xml:space="preserve">Assumed Renewable Electricity Emission Factor:</w:t>
      </w:r>
      <w:r>
        <w:t xml:space="preserve"> </w:t>
      </w:r>
      <w:r>
        <w:t xml:space="preserve">0.01 kgCO2e/kWh (for residual emissions)</w:t>
      </w:r>
    </w:p>
    <w:bookmarkEnd w:id="30"/>
    <w:bookmarkStart w:id="31" w:name="logistics-data"/>
    <w:p>
      <w:pPr>
        <w:pStyle w:val="Heading4"/>
      </w:pPr>
      <w:r>
        <w:t xml:space="preserve">3.3.3 Logistics Data</w:t>
      </w:r>
    </w:p>
    <w:p>
      <w:pPr>
        <w:numPr>
          <w:ilvl w:val="0"/>
          <w:numId w:val="1006"/>
        </w:numPr>
        <w:pStyle w:val="Compact"/>
      </w:pPr>
      <w:r>
        <w:rPr>
          <w:bCs/>
          <w:b/>
        </w:rPr>
        <w:t xml:space="preserve">Primary Transport Mode:</w:t>
      </w:r>
      <w:r>
        <w:t xml:space="preserve"> </w:t>
      </w:r>
      <w:r>
        <w:t xml:space="preserve">Select Mode (Assumed: Ocean Freight)</w:t>
      </w:r>
    </w:p>
    <w:p>
      <w:pPr>
        <w:numPr>
          <w:ilvl w:val="0"/>
          <w:numId w:val="1006"/>
        </w:numPr>
        <w:pStyle w:val="Compact"/>
      </w:pPr>
      <w:r>
        <w:rPr>
          <w:bCs/>
          <w:b/>
        </w:rPr>
        <w:t xml:space="preserve">Primary Transport Distance:</w:t>
      </w:r>
      <w:r>
        <w:t xml:space="preserve"> </w:t>
      </w:r>
      <w:r>
        <w:t xml:space="preserve">huyuhlmdvi (Assumed: 11,500 km)</w:t>
      </w:r>
    </w:p>
    <w:p>
      <w:pPr>
        <w:numPr>
          <w:ilvl w:val="0"/>
          <w:numId w:val="1006"/>
        </w:numPr>
        <w:pStyle w:val="Compact"/>
      </w:pPr>
      <w:r>
        <w:rPr>
          <w:bCs/>
          <w:b/>
        </w:rPr>
        <w:t xml:space="preserve">Last-Mile Delivery Channel:</w:t>
      </w:r>
      <w:r>
        <w:t xml:space="preserve"> </w:t>
      </w:r>
      <w:r>
        <w:t xml:space="preserve">Delivery Type (Assumed: Road Freight - Express Courier)</w:t>
      </w:r>
    </w:p>
    <w:p>
      <w:pPr>
        <w:numPr>
          <w:ilvl w:val="0"/>
          <w:numId w:val="1006"/>
        </w:numPr>
        <w:pStyle w:val="Compact"/>
      </w:pPr>
      <w:r>
        <w:rPr>
          <w:bCs/>
          <w:b/>
        </w:rPr>
        <w:t xml:space="preserve">Last-Mile Delivery Distance:</w:t>
      </w:r>
      <w:r>
        <w:t xml:space="preserve"> </w:t>
      </w:r>
      <w:r>
        <w:t xml:space="preserve">Assumed: 500 km</w:t>
      </w:r>
    </w:p>
    <w:p>
      <w:pPr>
        <w:numPr>
          <w:ilvl w:val="0"/>
          <w:numId w:val="1006"/>
        </w:numPr>
        <w:pStyle w:val="Compact"/>
      </w:pPr>
      <w:r>
        <w:rPr>
          <w:bCs/>
          <w:b/>
        </w:rPr>
        <w:t xml:space="preserve">Assumed Ocean Freight Emission Factor (per unit-km):</w:t>
      </w:r>
      <w:r>
        <w:t xml:space="preserve"> </w:t>
      </w:r>
      <w:r>
        <w:t xml:space="preserve">0.005 kgCO2e/unit-km</w:t>
      </w:r>
    </w:p>
    <w:p>
      <w:pPr>
        <w:numPr>
          <w:ilvl w:val="0"/>
          <w:numId w:val="1006"/>
        </w:numPr>
        <w:pStyle w:val="Compact"/>
      </w:pPr>
      <w:r>
        <w:rPr>
          <w:bCs/>
          <w:b/>
        </w:rPr>
        <w:t xml:space="preserve">Assumed Road Freight Emission Factor (per unit-km):</w:t>
      </w:r>
      <w:r>
        <w:t xml:space="preserve"> </w:t>
      </w:r>
      <w:r>
        <w:t xml:space="preserve">0.08 kgCO2e/unit-km</w:t>
      </w:r>
    </w:p>
    <w:bookmarkEnd w:id="31"/>
    <w:bookmarkStart w:id="32" w:name="use-phase-data"/>
    <w:p>
      <w:pPr>
        <w:pStyle w:val="Heading4"/>
      </w:pPr>
      <w:r>
        <w:t xml:space="preserve">3.3.4 Use Phase Data</w:t>
      </w:r>
    </w:p>
    <w:p>
      <w:pPr>
        <w:numPr>
          <w:ilvl w:val="0"/>
          <w:numId w:val="1007"/>
        </w:numPr>
        <w:pStyle w:val="Compact"/>
      </w:pPr>
      <w:r>
        <w:rPr>
          <w:bCs/>
          <w:b/>
        </w:rPr>
        <w:t xml:space="preserve">Product Lifespan:</w:t>
      </w:r>
      <w:r>
        <w:t xml:space="preserve"> </w:t>
      </w:r>
      <w:r>
        <w:t xml:space="preserve">lizrrovemw (5 years)</w:t>
      </w:r>
    </w:p>
    <w:p>
      <w:pPr>
        <w:numPr>
          <w:ilvl w:val="0"/>
          <w:numId w:val="1007"/>
        </w:numPr>
        <w:pStyle w:val="Compact"/>
      </w:pPr>
      <w:r>
        <w:rPr>
          <w:bCs/>
          <w:b/>
        </w:rPr>
        <w:t xml:space="preserve">Energy Consumption in Use:</w:t>
      </w:r>
      <w:r>
        <w:t xml:space="preserve"> </w:t>
      </w:r>
      <w:r>
        <w:t xml:space="preserve">rgfmefrvqo (20 kWh/year)</w:t>
      </w:r>
    </w:p>
    <w:p>
      <w:pPr>
        <w:numPr>
          <w:ilvl w:val="0"/>
          <w:numId w:val="1007"/>
        </w:numPr>
        <w:pStyle w:val="Compact"/>
      </w:pPr>
      <w:r>
        <w:rPr>
          <w:bCs/>
          <w:b/>
        </w:rPr>
        <w:t xml:space="preserve">Assumed User Electricity Mix Emission Factor:</w:t>
      </w:r>
      <w:r>
        <w:t xml:space="preserve"> </w:t>
      </w:r>
      <w:r>
        <w:t xml:space="preserve">0.55 kgCO2e/kWh (assuming average grid mix)</w:t>
      </w:r>
    </w:p>
    <w:bookmarkEnd w:id="32"/>
    <w:bookmarkStart w:id="33" w:name="end-of-life-eol-data"/>
    <w:p>
      <w:pPr>
        <w:pStyle w:val="Heading4"/>
      </w:pPr>
      <w:r>
        <w:t xml:space="preserve">3.3.5 End-of-Life (EoL) Data</w:t>
      </w:r>
    </w:p>
    <w:p>
      <w:pPr>
        <w:numPr>
          <w:ilvl w:val="0"/>
          <w:numId w:val="1008"/>
        </w:numPr>
        <w:pStyle w:val="Compact"/>
      </w:pPr>
      <w:r>
        <w:rPr>
          <w:bCs/>
          <w:b/>
        </w:rPr>
        <w:t xml:space="preserve">Recyclability Percentage:</w:t>
      </w:r>
      <w:r>
        <w:t xml:space="preserve"> </w:t>
      </w:r>
      <w:r>
        <w:t xml:space="preserve">pwwzioxzee (70%)</w:t>
      </w:r>
    </w:p>
    <w:p>
      <w:pPr>
        <w:numPr>
          <w:ilvl w:val="0"/>
          <w:numId w:val="1008"/>
        </w:numPr>
        <w:pStyle w:val="Compact"/>
      </w:pPr>
      <w:r>
        <w:rPr>
          <w:bCs/>
          <w:b/>
        </w:rPr>
        <w:t xml:space="preserve">Circular/Take-back Programs:</w:t>
      </w:r>
      <w:r>
        <w:t xml:space="preserve"> </w:t>
      </w:r>
      <w:r>
        <w:t xml:space="preserve">tmdjkghswv (Active, with material recovery)</w:t>
      </w:r>
    </w:p>
    <w:p>
      <w:pPr>
        <w:numPr>
          <w:ilvl w:val="0"/>
          <w:numId w:val="1008"/>
        </w:numPr>
        <w:pStyle w:val="Compact"/>
      </w:pPr>
      <w:r>
        <w:rPr>
          <w:bCs/>
          <w:b/>
        </w:rPr>
        <w:t xml:space="preserve">Assumed Product Weight:</w:t>
      </w:r>
      <w:r>
        <w:t xml:space="preserve"> </w:t>
      </w:r>
      <w:r>
        <w:t xml:space="preserve">1.9 kg (sum of BOM quantities)</w:t>
      </w:r>
    </w:p>
    <w:p>
      <w:pPr>
        <w:numPr>
          <w:ilvl w:val="0"/>
          <w:numId w:val="1008"/>
        </w:numPr>
        <w:pStyle w:val="Compact"/>
      </w:pPr>
      <w:r>
        <w:rPr>
          <w:bCs/>
          <w:b/>
        </w:rPr>
        <w:t xml:space="preserve">Assumed Recycling Credit:</w:t>
      </w:r>
      <w:r>
        <w:t xml:space="preserve"> </w:t>
      </w:r>
      <w:r>
        <w:t xml:space="preserve">-1.0 kgCO2e/kg (for recoverable materials)</w:t>
      </w:r>
    </w:p>
    <w:p>
      <w:pPr>
        <w:numPr>
          <w:ilvl w:val="0"/>
          <w:numId w:val="1008"/>
        </w:numPr>
        <w:pStyle w:val="Compact"/>
      </w:pPr>
      <w:r>
        <w:rPr>
          <w:bCs/>
          <w:b/>
        </w:rPr>
        <w:t xml:space="preserve">Assumed Disposal Burden (Landfill/Incineration):</w:t>
      </w:r>
      <w:r>
        <w:t xml:space="preserve"> </w:t>
      </w:r>
      <w:r>
        <w:t xml:space="preserve">1.5 kgCO2e/kg (for non-recycled waste)</w:t>
      </w:r>
    </w:p>
    <w:p>
      <w:pPr>
        <w:pStyle w:val="FirstParagraph"/>
      </w:pPr>
      <w:r>
        <w:rPr>
          <w:iCs/>
          <w:i/>
        </w:rPr>
        <w:t xml:space="preserve">Note: All industry-standard emission factors (e.g., Ecoinvent/DEFRA) are representative values based on publicly available databases and may require specific database licensing for direct retrieval. For this report, representative values have been used for calculation demonstration.</w:t>
      </w:r>
    </w:p>
    <w:p>
      <w:r>
        <w:pict>
          <v:rect style="width:0;height:1.5pt" o:hralign="center" o:hrstd="t" o:hr="t"/>
        </w:pict>
      </w:r>
    </w:p>
    <w:bookmarkEnd w:id="33"/>
    <w:bookmarkEnd w:id="34"/>
    <w:bookmarkEnd w:id="35"/>
    <w:bookmarkStart w:id="45" w:name="calculate-emissions"/>
    <w:p>
      <w:pPr>
        <w:pStyle w:val="Heading2"/>
      </w:pPr>
      <w:r>
        <w:t xml:space="preserve">4. Calculate Emissions</w:t>
      </w:r>
    </w:p>
    <w:p>
      <w:pPr>
        <w:pStyle w:val="FirstParagraph"/>
      </w:pPr>
      <w:r>
        <w:t xml:space="preserve">The emissions for each lifecycle stage were calculated by multiplying activity data by the relevant emission factors. Emissions are categorized according to the GHG Protocol.</w:t>
      </w:r>
    </w:p>
    <w:bookmarkStart w:id="38" w:name="scope-3-upstream-emissions"/>
    <w:p>
      <w:pPr>
        <w:pStyle w:val="Heading3"/>
      </w:pPr>
      <w:r>
        <w:t xml:space="preserve">4.1 Scope 3: Upstream Emissions</w:t>
      </w:r>
    </w:p>
    <w:bookmarkStart w:id="36" w:name="materials-acquisition-pre-processing"/>
    <w:p>
      <w:pPr>
        <w:pStyle w:val="Heading4"/>
      </w:pPr>
      <w:r>
        <w:t xml:space="preserve">4.1.1 Materials Acquisition &amp; Pre-processing</w:t>
      </w:r>
    </w:p>
    <w:p>
      <w:pPr>
        <w:pStyle w:val="FirstParagraph"/>
      </w:pPr>
      <w:r>
        <w:t xml:space="preserve">Based on the provided BOM (ifghkxlv), the total carbon impact from materials is the sum of the "Total Carbon" column.</w:t>
      </w:r>
    </w:p>
    <w:p>
      <w:pPr>
        <w:pStyle w:val="BodyText"/>
      </w:pPr>
      <w:r>
        <w:rPr>
          <w:bCs/>
          <w:b/>
        </w:rPr>
        <w:t xml:space="preserve">Total Material Emissions: 10.8 kgCO2e</w:t>
      </w:r>
    </w:p>
    <w:bookmarkEnd w:id="36"/>
    <w:bookmarkStart w:id="37" w:name="X86c0f34a75b294f5538715cb6d8081b06081652"/>
    <w:p>
      <w:pPr>
        <w:pStyle w:val="Heading4"/>
      </w:pPr>
      <w:r>
        <w:t xml:space="preserve">4.1.2 Upstream Transportation (Materials to Factory)</w:t>
      </w:r>
    </w:p>
    <w:p>
      <w:pPr>
        <w:pStyle w:val="FirstParagraph"/>
      </w:pPr>
      <w:r>
        <w:t xml:space="preserve">Considering a "Europe Focused" supply chain to China, we assume an average upstream transport distance.</w:t>
      </w:r>
    </w:p>
    <w:p>
      <w:pPr>
        <w:numPr>
          <w:ilvl w:val="0"/>
          <w:numId w:val="1009"/>
        </w:numPr>
        <w:pStyle w:val="Compact"/>
      </w:pPr>
      <w:r>
        <w:t xml:space="preserve">Assumed Upstream Transport: 5,000 km Ocean Freight (e.g., for components from Europe to China factory).</w:t>
      </w:r>
    </w:p>
    <w:p>
      <w:pPr>
        <w:numPr>
          <w:ilvl w:val="0"/>
          <w:numId w:val="1009"/>
        </w:numPr>
        <w:pStyle w:val="Compact"/>
      </w:pPr>
      <w:r>
        <w:t xml:space="preserve">Assumed product weight for materials: 1.9 kg.</w:t>
      </w:r>
    </w:p>
    <w:p>
      <w:pPr>
        <w:numPr>
          <w:ilvl w:val="0"/>
          <w:numId w:val="1009"/>
        </w:numPr>
        <w:pStyle w:val="Compact"/>
      </w:pPr>
      <w:r>
        <w:t xml:space="preserve">Calculation: 1.9 kg * 0.01 kgCO2e/tkm * 5000 km = 0.095 kgCO2e (if assuming tkm basis for materials)</w:t>
      </w:r>
    </w:p>
    <w:p>
      <w:pPr>
        <w:numPr>
          <w:ilvl w:val="0"/>
          <w:numId w:val="1009"/>
        </w:numPr>
        <w:pStyle w:val="Compact"/>
      </w:pPr>
      <w:r>
        <w:t xml:space="preserve">For simplicity and consistency with unit-km for final product, let\'s use a unit-km factor for upstream: 1.9 kg product * 0.005 kgCO2e/unit-km * 5000 km (average material journey) = 47.5 kgCO2e. Given the "Total Carbon" in BOM already includes the process emissions for materials, often transportation *to the manufacturer of the component* is included in the emission factor. To avoid double-counting and focus on the final product\'s transport, we will primarily detail the final product transport here and assume material EFs in BOM include upstream transport impacts to the component manufacturer. Let\'s stick to the product\'s primary transport from factory.</w:t>
      </w:r>
    </w:p>
    <w:p>
      <w:pPr>
        <w:pStyle w:val="FirstParagraph"/>
      </w:pPr>
      <w:r>
        <w:t xml:space="preserve">*Revisiting approach for Upstream Transport:* Given the "Total Carbon" in the BOM is specific, it is assumed to already encompass the cradle-to-gate impact of that component. Therefore, significant separate calculation for upstream *material* transport is generally integrated into the material\'s emission factor. This section will focus on the transport of the *final product*.</w:t>
      </w:r>
    </w:p>
    <w:bookmarkEnd w:id="37"/>
    <w:bookmarkEnd w:id="38"/>
    <w:bookmarkStart w:id="39" w:name="scope-2-production-energy-emissions"/>
    <w:p>
      <w:pPr>
        <w:pStyle w:val="Heading3"/>
      </w:pPr>
      <w:r>
        <w:t xml:space="preserve">4.2 Scope 2: Production Energy Emissions</w:t>
      </w:r>
    </w:p>
    <w:p>
      <w:pPr>
        <w:pStyle w:val="FirstParagraph"/>
      </w:pPr>
      <w:r>
        <w:t xml:space="preserve">Emissions from purchased electricity used during the manufacturing phase in China.</w:t>
      </w:r>
    </w:p>
    <w:p>
      <w:pPr>
        <w:numPr>
          <w:ilvl w:val="0"/>
          <w:numId w:val="1010"/>
        </w:numPr>
        <w:pStyle w:val="Compact"/>
      </w:pPr>
      <w:r>
        <w:t xml:space="preserve">Energy Intensity: 10 kWh/unit</w:t>
      </w:r>
    </w:p>
    <w:p>
      <w:pPr>
        <w:numPr>
          <w:ilvl w:val="0"/>
          <w:numId w:val="1010"/>
        </w:numPr>
        <w:pStyle w:val="Compact"/>
      </w:pPr>
      <w:r>
        <w:t xml:space="preserve">Renewable Energy Usage: 60% (0.6)</w:t>
      </w:r>
    </w:p>
    <w:p>
      <w:pPr>
        <w:numPr>
          <w:ilvl w:val="0"/>
          <w:numId w:val="1010"/>
        </w:numPr>
        <w:pStyle w:val="Compact"/>
      </w:pPr>
      <w:r>
        <w:t xml:space="preserve">Non-renewable energy: 10 kWh * (1 - 0.6) = 4 kWh</w:t>
      </w:r>
    </w:p>
    <w:p>
      <w:pPr>
        <w:numPr>
          <w:ilvl w:val="0"/>
          <w:numId w:val="1010"/>
        </w:numPr>
        <w:pStyle w:val="Compact"/>
      </w:pPr>
      <w:r>
        <w:t xml:space="preserve">Renewable energy: 10 kWh * 0.6 = 6 kWh</w:t>
      </w:r>
    </w:p>
    <w:p>
      <w:pPr>
        <w:numPr>
          <w:ilvl w:val="0"/>
          <w:numId w:val="1010"/>
        </w:numPr>
        <w:pStyle w:val="Compact"/>
      </w:pPr>
      <w:r>
        <w:t xml:space="preserve">Emissions from non-renewable energy: 4 kWh * 0.55 kgCO2e/kWh = 2.2 kgCO2e</w:t>
      </w:r>
    </w:p>
    <w:p>
      <w:pPr>
        <w:numPr>
          <w:ilvl w:val="0"/>
          <w:numId w:val="1010"/>
        </w:numPr>
        <w:pStyle w:val="Compact"/>
      </w:pPr>
      <w:r>
        <w:t xml:space="preserve">Emissions from renewable energy: 6 kWh * 0.01 kgCO2e/kWh = 0.06 kgCO2e</w:t>
      </w:r>
    </w:p>
    <w:p>
      <w:pPr>
        <w:pStyle w:val="FirstParagraph"/>
      </w:pPr>
      <w:r>
        <w:rPr>
          <w:bCs/>
          <w:b/>
        </w:rPr>
        <w:t xml:space="preserve">Total Production Energy Emissions (Scope 2): 2.26 kgCO2e</w:t>
      </w:r>
    </w:p>
    <w:p>
      <w:pPr>
        <w:pStyle w:val="BodyText"/>
      </w:pPr>
      <w:r>
        <w:rPr>
          <w:iCs/>
          <w:i/>
        </w:rPr>
        <w:t xml:space="preserve">(Scope 1: No direct combustion emissions are assumed at the factory gate boundary for this product unless specified, e.g., for specific heat generation. If present, these would be quantified here.)</w:t>
      </w:r>
    </w:p>
    <w:bookmarkEnd w:id="39"/>
    <w:bookmarkStart w:id="43" w:name="scope-3-downstream-emissions"/>
    <w:p>
      <w:pPr>
        <w:pStyle w:val="Heading3"/>
      </w:pPr>
      <w:r>
        <w:t xml:space="preserve">4.3 Scope 3: Downstream Emissions</w:t>
      </w:r>
    </w:p>
    <w:bookmarkStart w:id="40" w:name="transport-of-final-product"/>
    <w:p>
      <w:pPr>
        <w:pStyle w:val="Heading4"/>
      </w:pPr>
      <w:r>
        <w:t xml:space="preserve">4.3.1 Transport of Final Product</w:t>
      </w:r>
    </w:p>
    <w:p>
      <w:pPr>
        <w:pStyle w:val="FirstParagraph"/>
      </w:pPr>
      <w:r>
        <w:t xml:space="preserve">This includes the primary transport from the factory (China) to market and last-mile delivery.</w:t>
      </w:r>
    </w:p>
    <w:p>
      <w:pPr>
        <w:numPr>
          <w:ilvl w:val="0"/>
          <w:numId w:val="1011"/>
        </w:numPr>
        <w:pStyle w:val="Compact"/>
      </w:pPr>
      <w:r>
        <w:t xml:space="preserve">Primary Transport: 11,500 km via Ocean Freight (assumed from \'Select Mode\' and \'huyuhlmdvi\').</w:t>
      </w:r>
    </w:p>
    <w:p>
      <w:pPr>
        <w:numPr>
          <w:ilvl w:val="1"/>
          <w:numId w:val="1012"/>
        </w:numPr>
        <w:pStyle w:val="Compact"/>
      </w:pPr>
      <w:r>
        <w:t xml:space="preserve">Emissions: 11,500 km * 0.005 kgCO2e/unit-km = 57.5 kgCO2e</w:t>
      </w:r>
    </w:p>
    <w:p>
      <w:pPr>
        <w:numPr>
          <w:ilvl w:val="0"/>
          <w:numId w:val="1011"/>
        </w:numPr>
        <w:pStyle w:val="Compact"/>
      </w:pPr>
      <w:r>
        <w:t xml:space="preserve">Last-Mile Delivery: 500 km via Road Freight / Express Courier (assumed from \'Delivery Type\').</w:t>
      </w:r>
    </w:p>
    <w:p>
      <w:pPr>
        <w:numPr>
          <w:ilvl w:val="1"/>
          <w:numId w:val="1013"/>
        </w:numPr>
        <w:pStyle w:val="Compact"/>
      </w:pPr>
      <w:r>
        <w:t xml:space="preserve">Emissions: 500 km * 0.08 kgCO2e/unit-km = 40.0 kgCO2e</w:t>
      </w:r>
    </w:p>
    <w:p>
      <w:pPr>
        <w:pStyle w:val="FirstParagraph"/>
      </w:pPr>
      <w:r>
        <w:rPr>
          <w:bCs/>
          <w:b/>
        </w:rPr>
        <w:t xml:space="preserve">Total Transport Emissions (Scope 3): 97.5 kgCO2e</w:t>
      </w:r>
    </w:p>
    <w:bookmarkEnd w:id="40"/>
    <w:bookmarkStart w:id="41" w:name="use-phase-emissions"/>
    <w:p>
      <w:pPr>
        <w:pStyle w:val="Heading4"/>
      </w:pPr>
      <w:r>
        <w:t xml:space="preserve">4.3.2 Use Phase Emissions</w:t>
      </w:r>
    </w:p>
    <w:p>
      <w:pPr>
        <w:pStyle w:val="FirstParagraph"/>
      </w:pPr>
      <w:r>
        <w:t xml:space="preserve">Energy consumption during the product\'s operational lifespan.</w:t>
      </w:r>
    </w:p>
    <w:p>
      <w:pPr>
        <w:numPr>
          <w:ilvl w:val="0"/>
          <w:numId w:val="1014"/>
        </w:numPr>
        <w:pStyle w:val="Compact"/>
      </w:pPr>
      <w:r>
        <w:t xml:space="preserve">Product Lifespan: 5 years</w:t>
      </w:r>
    </w:p>
    <w:p>
      <w:pPr>
        <w:numPr>
          <w:ilvl w:val="0"/>
          <w:numId w:val="1014"/>
        </w:numPr>
        <w:pStyle w:val="Compact"/>
      </w:pPr>
      <w:r>
        <w:t xml:space="preserve">Energy Consumption in Use: 20 kWh/year</w:t>
      </w:r>
    </w:p>
    <w:p>
      <w:pPr>
        <w:numPr>
          <w:ilvl w:val="0"/>
          <w:numId w:val="1014"/>
        </w:numPr>
        <w:pStyle w:val="Compact"/>
      </w:pPr>
      <w:r>
        <w:t xml:space="preserve">Total Energy Consumption: 20 kWh/year * 5 years = 100 kWh</w:t>
      </w:r>
    </w:p>
    <w:p>
      <w:pPr>
        <w:numPr>
          <w:ilvl w:val="0"/>
          <w:numId w:val="1014"/>
        </w:numPr>
        <w:pStyle w:val="Compact"/>
      </w:pPr>
      <w:r>
        <w:t xml:space="preserve">Emissions: 100 kWh * 0.55 kgCO2e/kWh (average user electricity mix) = 55.0 kgCO2e</w:t>
      </w:r>
    </w:p>
    <w:p>
      <w:pPr>
        <w:pStyle w:val="FirstParagraph"/>
      </w:pPr>
      <w:r>
        <w:rPr>
          <w:bCs/>
          <w:b/>
        </w:rPr>
        <w:t xml:space="preserve">Total Use Phase Emissions (Scope 3): 55.0 kgCO2e</w:t>
      </w:r>
    </w:p>
    <w:bookmarkEnd w:id="41"/>
    <w:bookmarkStart w:id="42" w:name="end-of-life-eol-emissions-credits"/>
    <w:p>
      <w:pPr>
        <w:pStyle w:val="Heading4"/>
      </w:pPr>
      <w:r>
        <w:t xml:space="preserve">4.3.3 End-of-Life (EoL) Emissions / Credits</w:t>
      </w:r>
    </w:p>
    <w:p>
      <w:pPr>
        <w:pStyle w:val="FirstParagraph"/>
      </w:pPr>
      <w:r>
        <w:t xml:space="preserve">Impacts from disposal and recovery are based on recyclability and circular economy programs.</w:t>
      </w:r>
    </w:p>
    <w:p>
      <w:pPr>
        <w:numPr>
          <w:ilvl w:val="0"/>
          <w:numId w:val="1015"/>
        </w:numPr>
        <w:pStyle w:val="Compact"/>
      </w:pPr>
      <w:r>
        <w:t xml:space="preserve">Assumed Product Weight: 1.9 kg</w:t>
      </w:r>
    </w:p>
    <w:p>
      <w:pPr>
        <w:numPr>
          <w:ilvl w:val="0"/>
          <w:numId w:val="1015"/>
        </w:numPr>
        <w:pStyle w:val="Compact"/>
      </w:pPr>
      <w:r>
        <w:t xml:space="preserve">Recyclability Percentage: 70%</w:t>
      </w:r>
    </w:p>
    <w:p>
      <w:pPr>
        <w:numPr>
          <w:ilvl w:val="0"/>
          <w:numId w:val="1015"/>
        </w:numPr>
        <w:pStyle w:val="Compact"/>
      </w:pPr>
      <w:r>
        <w:t xml:space="preserve">Amount Recycled: 1.9 kg * 0.70 = 1.33 kg</w:t>
      </w:r>
    </w:p>
    <w:p>
      <w:pPr>
        <w:numPr>
          <w:ilvl w:val="0"/>
          <w:numId w:val="1015"/>
        </w:numPr>
        <w:pStyle w:val="Compact"/>
      </w:pPr>
      <w:r>
        <w:t xml:space="preserve">Amount Disposed: 1.9 kg * 0.30 = 0.57 kg</w:t>
      </w:r>
    </w:p>
    <w:p>
      <w:pPr>
        <w:numPr>
          <w:ilvl w:val="0"/>
          <w:numId w:val="1015"/>
        </w:numPr>
        <w:pStyle w:val="Compact"/>
      </w:pPr>
      <w:r>
        <w:t xml:space="preserve">Recycling Credit: 1.33 kg * (-1.0 kgCO2e/kg) = -1.33 kgCO2e</w:t>
      </w:r>
    </w:p>
    <w:p>
      <w:pPr>
        <w:numPr>
          <w:ilvl w:val="0"/>
          <w:numId w:val="1015"/>
        </w:numPr>
        <w:pStyle w:val="Compact"/>
      </w:pPr>
      <w:r>
        <w:t xml:space="preserve">Disposal Burden: 0.57 kg * 1.5 kgCO2e/kg = 0.855 kgCO2e</w:t>
      </w:r>
    </w:p>
    <w:p>
      <w:pPr>
        <w:numPr>
          <w:ilvl w:val="0"/>
          <w:numId w:val="1015"/>
        </w:numPr>
        <w:pStyle w:val="Compact"/>
      </w:pPr>
      <w:r>
        <w:t xml:space="preserve">Circular/Take-back Programs: "Active, with material recovery" supports the high recyclability and aims to maximize resource efficiency, thereby contributing to the net credit.</w:t>
      </w:r>
    </w:p>
    <w:p>
      <w:pPr>
        <w:pStyle w:val="FirstParagraph"/>
      </w:pPr>
      <w:r>
        <w:rPr>
          <w:bCs/>
          <w:b/>
        </w:rPr>
        <w:t xml:space="preserve">Total End-of-Life Emissions (Scope 3): -1.33 + 0.855 = -0.475 kgCO2e (Net Credit)</w:t>
      </w:r>
    </w:p>
    <w:bookmarkEnd w:id="42"/>
    <w:bookmarkEnd w:id="43"/>
    <w:bookmarkStart w:id="44" w:name="summary-of-product-carbon-footprint"/>
    <w:p>
      <w:pPr>
        <w:pStyle w:val="Heading3"/>
      </w:pPr>
      <w:r>
        <w:t xml:space="preserve">4.4 Summary of Product Carbon Footprint</w:t>
      </w:r>
    </w:p>
    <w:p>
      <w:pPr>
        <w:pStyle w:val="FirstParagraph"/>
      </w:pPr>
      <w:r>
        <w:t xml:space="preserve">The total Product Carbon Footprint for one functional unit of kvmdwimdih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10.80</w:t>
            </w:r>
          </w:p>
        </w:tc>
        <w:tc>
          <w:tcPr/>
          <w:p>
            <w:pPr>
              <w:pStyle w:val="Compact"/>
              <w:jc w:val="left"/>
            </w:pPr>
            <w:r>
              <w:t xml:space="preserve">6.54%</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2.26</w:t>
            </w:r>
          </w:p>
        </w:tc>
        <w:tc>
          <w:tcPr/>
          <w:p>
            <w:pPr>
              <w:pStyle w:val="Compact"/>
              <w:jc w:val="left"/>
            </w:pPr>
            <w:r>
              <w:t xml:space="preserve">1.37%</w:t>
            </w:r>
          </w:p>
        </w:tc>
      </w:tr>
      <w:tr>
        <w:tc>
          <w:tcPr/>
          <w:p>
            <w:pPr>
              <w:pStyle w:val="Compact"/>
              <w:jc w:val="left"/>
            </w:pPr>
            <w:r>
              <w:t xml:space="preserve">Transport (Final Product)</w:t>
            </w:r>
          </w:p>
        </w:tc>
        <w:tc>
          <w:tcPr/>
          <w:p>
            <w:pPr>
              <w:pStyle w:val="Compact"/>
              <w:jc w:val="left"/>
            </w:pPr>
            <w:r>
              <w:t xml:space="preserve">Scope 3 (Downstream)</w:t>
            </w:r>
          </w:p>
        </w:tc>
        <w:tc>
          <w:tcPr/>
          <w:p>
            <w:pPr>
              <w:pStyle w:val="Compact"/>
              <w:jc w:val="left"/>
            </w:pPr>
            <w:r>
              <w:t xml:space="preserve">97.50</w:t>
            </w:r>
          </w:p>
        </w:tc>
        <w:tc>
          <w:tcPr/>
          <w:p>
            <w:pPr>
              <w:pStyle w:val="Compact"/>
              <w:jc w:val="left"/>
            </w:pPr>
            <w:r>
              <w:t xml:space="preserve">59.07%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55.00</w:t>
            </w:r>
          </w:p>
        </w:tc>
        <w:tc>
          <w:tcPr/>
          <w:p>
            <w:pPr>
              <w:pStyle w:val="Compact"/>
              <w:jc w:val="left"/>
            </w:pPr>
            <w:r>
              <w:t xml:space="preserve">33.32%</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w:t>
            </w:r>
          </w:p>
        </w:tc>
        <w:tc>
          <w:tcPr/>
          <w:p>
            <w:pPr>
              <w:pStyle w:val="Compact"/>
              <w:jc w:val="left"/>
            </w:pPr>
            <w:r>
              <w:t xml:space="preserve">-0.29%</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165.06</w:t>
            </w:r>
          </w:p>
        </w:tc>
        <w:tc>
          <w:tcPr/>
          <w:p>
            <w:pPr>
              <w:pStyle w:val="Compact"/>
              <w:jc w:val="left"/>
            </w:pPr>
            <w:r>
              <w:rPr>
                <w:bCs/>
                <w:b/>
              </w:rPr>
              <w:t xml:space="preserve">100.00%</w:t>
            </w:r>
          </w:p>
        </w:tc>
      </w:tr>
    </w:tbl>
    <w:p>
      <w:pPr>
        <w:pStyle w:val="BodyText"/>
      </w:pPr>
      <w:r>
        <w:t xml:space="preserve">The total Product Carbon Footprint for one unit of</w:t>
      </w:r>
      <w:r>
        <w:t xml:space="preserve"> </w:t>
      </w:r>
      <w:r>
        <w:t xml:space="preserve">kvmdwimdih</w:t>
      </w:r>
      <w:r>
        <w:t xml:space="preserve"> </w:t>
      </w:r>
      <w:r>
        <w:t xml:space="preserve">is</w:t>
      </w:r>
      <w:r>
        <w:t xml:space="preserve"> </w:t>
      </w:r>
      <w:r>
        <w:t xml:space="preserve">165.06 kgCO2e</w:t>
      </w:r>
      <w:r>
        <w:t xml:space="preserve">.</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primary emission hotspots for kvmdwimdih:</w:t>
      </w:r>
    </w:p>
    <w:p>
      <w:pPr>
        <w:numPr>
          <w:ilvl w:val="0"/>
          <w:numId w:val="1016"/>
        </w:numPr>
        <w:pStyle w:val="Compact"/>
      </w:pPr>
      <w:r>
        <w:rPr>
          <w:bCs/>
          <w:b/>
        </w:rPr>
        <w:t xml:space="preserve">Transport (59.07%):</w:t>
      </w:r>
      <w:r>
        <w:t xml:space="preserve"> </w:t>
      </w:r>
      <w:r>
        <w:t xml:space="preserve">This is the most significant contributor, primarily due to the long-distance transport from the China production facility to markets and subsequent last-mile delivery.</w:t>
      </w:r>
    </w:p>
    <w:p>
      <w:pPr>
        <w:numPr>
          <w:ilvl w:val="0"/>
          <w:numId w:val="1016"/>
        </w:numPr>
        <w:pStyle w:val="Compact"/>
      </w:pPr>
      <w:r>
        <w:rPr>
          <w:bCs/>
          <w:b/>
        </w:rPr>
        <w:t xml:space="preserve">Use Phase (33.32%):</w:t>
      </w:r>
      <w:r>
        <w:t xml:space="preserve"> </w:t>
      </w:r>
      <w:r>
        <w:t xml:space="preserve">The energy consumed by the product during its operational lifespan represents a substantial portion of the footprint, highly dependent on the energy mix of the end-user.</w:t>
      </w:r>
    </w:p>
    <w:p>
      <w:pPr>
        <w:numPr>
          <w:ilvl w:val="0"/>
          <w:numId w:val="1016"/>
        </w:numPr>
        <w:pStyle w:val="Compact"/>
      </w:pPr>
      <w:r>
        <w:rPr>
          <w:bCs/>
          <w:b/>
        </w:rPr>
        <w:t xml:space="preserve">Materials (6.54%):</w:t>
      </w:r>
      <w:r>
        <w:t xml:space="preserve"> </w:t>
      </w:r>
      <w:r>
        <w:t xml:space="preserve">While not the dominant factor, material extraction and processing remain an area for continuous improvement, especially for energy-intensive materials like aluminum.</w:t>
      </w:r>
    </w:p>
    <w:bookmarkEnd w:id="46"/>
    <w:bookmarkStart w:id="47" w:name="reliability-and-limitations"/>
    <w:p>
      <w:pPr>
        <w:pStyle w:val="Heading3"/>
      </w:pPr>
      <w:r>
        <w:t xml:space="preserve">5.2 Reliability and Limitations</w:t>
      </w:r>
    </w:p>
    <w:p>
      <w:pPr>
        <w:pStyle w:val="FirstParagraph"/>
      </w:pPr>
      <w:r>
        <w:t xml:space="preserve">The calculations are based on the specific parameters provided and representative industry-average emission factors (e.g., from Ecoinvent/DEFRA for general categories where BOM specifics were not exhaustive, and for transport/energy grids). The accuracy is enhanced by the use of detailed BOM data. Limitations include:</w:t>
      </w:r>
    </w:p>
    <w:p>
      <w:pPr>
        <w:numPr>
          <w:ilvl w:val="0"/>
          <w:numId w:val="1017"/>
        </w:numPr>
        <w:pStyle w:val="Compact"/>
      </w:pPr>
      <w:r>
        <w:t xml:space="preserve">Reliance on assumed generic emission factors for transport modes and electricity grids where specific supplier or country data was not available.</w:t>
      </w:r>
    </w:p>
    <w:p>
      <w:pPr>
        <w:numPr>
          <w:ilvl w:val="0"/>
          <w:numId w:val="1017"/>
        </w:numPr>
        <w:pStyle w:val="Compact"/>
      </w:pPr>
      <w:r>
        <w:t xml:space="preserve">Simplified assumptions for end-of-life scenarios (average recycling credits/disposal burdens).</w:t>
      </w:r>
    </w:p>
    <w:p>
      <w:pPr>
        <w:numPr>
          <w:ilvl w:val="0"/>
          <w:numId w:val="1017"/>
        </w:numPr>
        <w:pStyle w:val="Compact"/>
      </w:pPr>
      <w:r>
        <w:t xml:space="preserve">The "factory_gate" system boundary for direct control means certain upstream Scope 3 impacts (e.g., business travel of suppliers) are not covered unless explicitly included in material emission factors. However, critical Scope 3 categories are covered.</w:t>
      </w:r>
    </w:p>
    <w:p>
      <w:pPr>
        <w:numPr>
          <w:ilvl w:val="0"/>
          <w:numId w:val="1017"/>
        </w:numPr>
        <w:pStyle w:val="Compact"/>
      </w:pPr>
      <w:r>
        <w:t xml:space="preserve">The 2026 LSR update is conceptually applied; specific quantification would require detailed land-use change data linked to specific material sourcing or energy projects, which are not provided here.</w:t>
      </w:r>
    </w:p>
    <w:bookmarkEnd w:id="47"/>
    <w:bookmarkStart w:id="48" w:name="recommendations-for-emission-reduction"/>
    <w:p>
      <w:pPr>
        <w:pStyle w:val="Heading3"/>
      </w:pPr>
      <w:r>
        <w:t xml:space="preserve">5.3 Recommendations for Emission Reduction</w:t>
      </w:r>
    </w:p>
    <w:p>
      <w:pPr>
        <w:numPr>
          <w:ilvl w:val="0"/>
          <w:numId w:val="1018"/>
        </w:numPr>
        <w:pStyle w:val="Compact"/>
      </w:pPr>
      <w:r>
        <w:rPr>
          <w:bCs/>
          <w:b/>
        </w:rPr>
        <w:t xml:space="preserve">Optimize Logistics:</w:t>
      </w:r>
      <w:r>
        <w:t xml:space="preserve"> </w:t>
      </w:r>
      <w:r>
        <w:t xml:space="preserve">Explore more efficient transport modes (e.g., rail instead of road for mid-distances, optimizing vessel fill rates for ocean freight), consolidate shipments, and consider regional manufacturing where feasible to reduce transport distances.</w:t>
      </w:r>
    </w:p>
    <w:p>
      <w:pPr>
        <w:numPr>
          <w:ilvl w:val="0"/>
          <w:numId w:val="1018"/>
        </w:numPr>
        <w:pStyle w:val="Compact"/>
      </w:pPr>
      <w:r>
        <w:rPr>
          <w:bCs/>
          <w:b/>
        </w:rPr>
        <w:t xml:space="preserve">Enhance Energy Efficiency in Use:</w:t>
      </w:r>
      <w:r>
        <w:t xml:space="preserve"> </w:t>
      </w:r>
      <w:r>
        <w:t xml:space="preserve">Invest in R&amp;D to reduce the product\'s energy consumption during its lifespan. Provide users with guidance on energy-efficient usage and encourage the use of renewable energy sources.</w:t>
      </w:r>
    </w:p>
    <w:p>
      <w:pPr>
        <w:numPr>
          <w:ilvl w:val="0"/>
          <w:numId w:val="1018"/>
        </w:numPr>
        <w:pStyle w:val="Compact"/>
      </w:pPr>
      <w:r>
        <w:rPr>
          <w:bCs/>
          <w:b/>
        </w:rPr>
        <w:t xml:space="preserve">Material Innovations:</w:t>
      </w:r>
      <w:r>
        <w:t xml:space="preserve"> </w:t>
      </w:r>
      <w:r>
        <w:t xml:space="preserve">Investigate opportunities for using lower-carbon materials, recycled content, or materials with lower processing energy requirements. Continuously review BOM for potential material substitutions or design optimizations.</w:t>
      </w:r>
    </w:p>
    <w:p>
      <w:pPr>
        <w:numPr>
          <w:ilvl w:val="0"/>
          <w:numId w:val="1018"/>
        </w:numPr>
        <w:pStyle w:val="Compact"/>
      </w:pPr>
      <w:r>
        <w:rPr>
          <w:bCs/>
          <w:b/>
        </w:rPr>
        <w:t xml:space="preserve">Strengthen Circularity:</w:t>
      </w:r>
      <w:r>
        <w:t xml:space="preserve"> </w:t>
      </w:r>
      <w:r>
        <w:t xml:space="preserve">Continue to expand and promote take-back and recycling programs. Explore opportunities for product-as-a-service models or design for disassembly to maximize material recovery and reuse.</w:t>
      </w:r>
    </w:p>
    <w:p>
      <w:r>
        <w:pict>
          <v:rect style="width:0;height:1.5pt" o:hralign="center" o:hrstd="t" o:hr="t"/>
        </w:pict>
      </w:r>
    </w:p>
    <w:bookmarkEnd w:id="48"/>
    <w:bookmarkEnd w:id="49"/>
    <w:bookmarkStart w:id="50" w:name="conclusion"/>
    <w:p>
      <w:pPr>
        <w:pStyle w:val="Heading2"/>
      </w:pPr>
      <w:r>
        <w:t xml:space="preserve">6. Conclusion</w:t>
      </w:r>
    </w:p>
    <w:p>
      <w:pPr>
        <w:pStyle w:val="FirstParagraph"/>
      </w:pPr>
      <w:r>
        <w:t xml:space="preserve">This comprehensive PCF analysis for</w:t>
      </w:r>
      <w:r>
        <w:t xml:space="preserve"> </w:t>
      </w:r>
      <w:r>
        <w:t xml:space="preserve">kvmdwimdih</w:t>
      </w:r>
      <w:r>
        <w:t xml:space="preserve"> </w:t>
      </w:r>
      <w:r>
        <w:t xml:space="preserve">provides</w:t>
      </w:r>
      <w:r>
        <w:t xml:space="preserve"> </w:t>
      </w:r>
      <w:r>
        <w:t xml:space="preserve">tlfkghwphp</w:t>
      </w:r>
      <w:r>
        <w:t xml:space="preserve"> </w:t>
      </w:r>
      <w:r>
        <w:t xml:space="preserve">with a robust understanding of its product\'s environmental footprint. By focusing on the identified hotspots—primarily transport and the use phase—</w:t>
      </w:r>
      <w:r>
        <w:t xml:space="preserve">tlfkghwphp</w:t>
      </w:r>
      <w:r>
        <w:t xml:space="preserve"> </w:t>
      </w:r>
      <w:r>
        <w:t xml:space="preserve">can develop targeted strategies to significantly reduce GHG emissions and enhance its overall sustainability performance, aligning with global climate goals and increasing market demand for eco-friendly products.</w:t>
      </w:r>
    </w:p>
    <w:p>
      <w:pPr>
        <w:pStyle w:val="BodyText"/>
      </w:pPr>
      <w:r>
        <w:t xml:space="preserve">Confidential - Internal Use Only | Report Generated: May 23, 2026</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kvmdwimdih</dc:title>
  <dc:creator/>
  <dc:description>Detailed Product Carbon Footprint (PCF) analysis for kvmdwimdih, prepared by Senior Sustainability Consultant fqmtewwkgz for tlfkghwphp, adhering to GHG Protocol and 2026 LSR Update requirements.</dc:description>
  <dc:language>en</dc:language>
  <cp:keywords/>
  <dcterms:created xsi:type="dcterms:W3CDTF">2026-05-30T10:34:08Z</dcterms:created>
  <dcterms:modified xsi:type="dcterms:W3CDTF">2026-05-30T10:34:08Z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