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jzddgklghl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jzddgklghl</w:t>
      </w:r>
    </w:p>
    <w:p>
      <w:pPr>
        <w:pStyle w:val="BodyText"/>
      </w:pPr>
      <w:r>
        <w:rPr>
          <w:bCs/>
          <w:b/>
        </w:rPr>
        <w:t xml:space="preserve">Company:</w:t>
      </w:r>
      <w:r>
        <w:t xml:space="preserve"> </w:t>
      </w:r>
      <w:r>
        <w:t xml:space="preserve">fyzpzxrjxe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dylmqefsro</w:t>
      </w:r>
    </w:p>
    <w:p>
      <w:pPr>
        <w:pStyle w:val="BodyText"/>
      </w:pPr>
      <w:r>
        <w:t xml:space="preserve">This report is generated based on available data and industry standards, intended to provide a high-level assessment of the product\'s carbon footprint. While best efforts have been made to ensure accuracy using the provided parameters and recognized methodologies, actual emissions may vary due to real-world complexities and data limitations.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jzddgklghl, manufactured by fyzpzxrjxe. The analysis was conducted by dylmqefsro, a Senior Sustainability Consultant specializing in GHG Protocol, and adheres strictly to the GHG Protocol accounting standard, incorporating the 2026 Land Sector and Removals (LSR) Standard update and ensuring over 95% Scope 3 coverage. The PCF quantifies the total greenhouse gas emissions associated with the product\'s entire lifecycle, from material acquisition and manufacturing to transportation, use, and end-of-life.</w:t>
      </w:r>
    </w:p>
    <w:p>
      <w:pPr>
        <w:pStyle w:val="BodyText"/>
      </w:pPr>
      <w:r>
        <w:t xml:space="preserve">The comprehensive assessment reveals the primary emission hotspots across the product\'s lifecycle, providing fyzpzxrjxe with actionable insights for decarbonization strategies. Key findings indicate that the use phase significantly contributes to the overall footprint, followed by material acquisition and manufacturing energy.</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This section outlines the foundational parameters for the Product Carbon Footprint analysis of jzddgklghl, ensuring a clear and consistent basis for calculation.</w:t>
      </w:r>
    </w:p>
    <w:p>
      <w:pPr>
        <w:numPr>
          <w:ilvl w:val="0"/>
          <w:numId w:val="1001"/>
        </w:numPr>
        <w:pStyle w:val="Compact"/>
      </w:pPr>
      <w:r>
        <w:rPr>
          <w:bCs/>
          <w:b/>
        </w:rPr>
        <w:t xml:space="preserve">Functional Unit:</w:t>
      </w:r>
      <w:r>
        <w:t xml:space="preserve"> </w:t>
      </w:r>
      <w:r>
        <w:t xml:space="preserve">The reference flow for this analysis is 1.0 unit of jzddgklghl. All emissions are quantified per functional unit.</w:t>
      </w:r>
    </w:p>
    <w:p>
      <w:pPr>
        <w:numPr>
          <w:ilvl w:val="0"/>
          <w:numId w:val="1001"/>
        </w:numPr>
        <w:pStyle w:val="Compact"/>
      </w:pPr>
      <w:r>
        <w:rPr>
          <w:bCs/>
          <w:b/>
        </w:rPr>
        <w:t xml:space="preserve">System Boundary:</w:t>
      </w:r>
      <w:r>
        <w:t xml:space="preserve"> </w:t>
      </w:r>
      <w:r>
        <w:t xml:space="preserve">The analysis employs a "cradle-to-grave" approach, encompassing all stages from raw material extraction (cradle) through manufacturing (factory_gate), distribution, product use, and ultimately to its end-of-life treatment (grave).</w:t>
      </w:r>
    </w:p>
    <w:p>
      <w:pPr>
        <w:numPr>
          <w:ilvl w:val="0"/>
          <w:numId w:val="1001"/>
        </w:numPr>
        <w:pStyle w:val="Compact"/>
      </w:pPr>
      <w:r>
        <w:rPr>
          <w:bCs/>
          <w:b/>
        </w:rPr>
        <w:t xml:space="preserve">Geographic Scope:</w:t>
      </w:r>
      <w:r>
        <w:t xml:space="preserve"> </w:t>
      </w:r>
      <w:r>
        <w:t xml:space="preserve">The final production country for jzddgklghl is China, with a specific focus on the European supply chain for upstream activities. Downstream use and end-of-life are considered globally, reflecting typical product usage patterns.</w:t>
      </w:r>
    </w:p>
    <w:p>
      <w:pPr>
        <w:numPr>
          <w:ilvl w:val="0"/>
          <w:numId w:val="1001"/>
        </w:numPr>
        <w:pStyle w:val="Compact"/>
      </w:pPr>
      <w:r>
        <w:rPr>
          <w:bCs/>
          <w:b/>
        </w:rPr>
        <w:t xml:space="preserve">Allocation:</w:t>
      </w:r>
      <w:r>
        <w:t xml:space="preserve"> </w:t>
      </w:r>
      <w:r>
        <w:t xml:space="preserve">Emissions are directly attributed to the functional unit where possible. For shared processes or infrastructure, appropriate mass or economic allocation methods are applied in accordance with GHG Protocol guidelines.</w:t>
      </w:r>
    </w:p>
    <w:p>
      <w:pPr>
        <w:numPr>
          <w:ilvl w:val="0"/>
          <w:numId w:val="1001"/>
        </w:numPr>
        <w:pStyle w:val="Compact"/>
      </w:pPr>
      <w:r>
        <w:rPr>
          <w:bCs/>
          <w:b/>
        </w:rPr>
        <w:t xml:space="preserve">Accounting Standard:</w:t>
      </w:r>
      <w:r>
        <w:t xml:space="preserve"> </w:t>
      </w:r>
      <w:r>
        <w:t xml:space="preserve">All calculations and reporting strictly adhere to the Greenhouse Gas (GHG) Protocol Product Standard. Emissions are categorized into Scope 1 (direct), Scope 2 (purchased energy), and Scope 3 (value chain) to ensure comprehensive and standardized reporting.</w:t>
      </w:r>
    </w:p>
    <w:bookmarkEnd w:id="23"/>
    <w:p>
      <w:r>
        <w:pict>
          <v:rect style="width:0;height:1.5pt" o:hralign="center" o:hrstd="t" o:hr="t"/>
        </w:pict>
      </w:r>
    </w:p>
    <w:bookmarkStart w:id="27" w:name="map-lifecycle-lci-inventory-stages"/>
    <w:p>
      <w:pPr>
        <w:pStyle w:val="Heading2"/>
      </w:pPr>
      <w:r>
        <w:t xml:space="preserve">2. Map Lifecycle (LCI Inventory Stages)</w:t>
      </w:r>
    </w:p>
    <w:p>
      <w:pPr>
        <w:pStyle w:val="FirstParagraph"/>
      </w:pPr>
      <w:r>
        <w:t xml:space="preserve">The lifecycle of jzddgklghl has been mapped into distinct stages to systematically identify and quantify all relevant inputs and outputs. This forms the basis for the Life Cycle Inventory (LCI).</w:t>
      </w:r>
    </w:p>
    <w:bookmarkStart w:id="24" w:name="Xd5c76fd435a6e67e76e1e1d65ed4e9d9b843b2e"/>
    <w:p>
      <w:pPr>
        <w:pStyle w:val="Heading3"/>
      </w:pPr>
      <w:r>
        <w:t xml:space="preserve">2.1. Material Acquisition &amp; Production (Detailed Bill of Materials - BOM)</w:t>
      </w:r>
    </w:p>
    <w:p>
      <w:pPr>
        <w:pStyle w:val="FirstParagraph"/>
      </w:pPr>
      <w:r>
        <w:t xml:space="preserve">The material composition of jzddgklghl is a critical driver of its environmental footprint. The detailed Bill of Materials (BOM) provides specific data for each component, including pre-calculated \'Total Carbon\' values which incorporate the emissions from raw material extraction and processing up to the point of being a manufactured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0.56</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gridSpan w:val="7"/>
          </w:tcPr>
          <w:p>
            <w:pPr>
              <w:pStyle w:val="Compact"/>
              <w:jc w:val="right"/>
            </w:pPr>
            <w:r>
              <w:t xml:space="preserve">Subtotal Material Carbon Footprint:</w:t>
            </w:r>
          </w:p>
        </w:tc>
        <w:tc>
          <w:tcPr/>
          <w:p>
            <w:pPr>
              <w:pStyle w:val="Compact"/>
              <w:jc w:val="left"/>
            </w:pPr>
            <w:r>
              <w:rPr>
                <w:bCs/>
                <w:b/>
              </w:rPr>
              <w:t xml:space="preserve">5.51 kg CO2e</w:t>
            </w:r>
          </w:p>
        </w:tc>
      </w:tr>
    </w:tbl>
    <w:bookmarkEnd w:id="24"/>
    <w:bookmarkStart w:id="25" w:name="energy-inputs"/>
    <w:p>
      <w:pPr>
        <w:pStyle w:val="Heading3"/>
      </w:pPr>
      <w:r>
        <w:t xml:space="preserve">2.2. Energy Inputs</w:t>
      </w:r>
    </w:p>
    <w:p>
      <w:pPr>
        <w:pStyle w:val="FirstParagraph"/>
      </w:pPr>
      <w:r>
        <w:t xml:space="preserve">Energy consumption during the manufacturing phase is a significant contributor to the PCF. This analysis considers both the overall energy intensity and the impact of renewable energy usage at the production facility.</w:t>
      </w:r>
    </w:p>
    <w:p>
      <w:pPr>
        <w:numPr>
          <w:ilvl w:val="0"/>
          <w:numId w:val="1002"/>
        </w:numPr>
        <w:pStyle w:val="Compact"/>
      </w:pPr>
      <w:r>
        <w:rPr>
          <w:bCs/>
          <w:b/>
        </w:rPr>
        <w:t xml:space="preserve">Energy Intensity (kWh/unit):</w:t>
      </w:r>
      <w:r>
        <w:t xml:space="preserve"> </w:t>
      </w:r>
      <w:r>
        <w:t xml:space="preserve">dyertlslmf (e.g., 15 kWh/unit)</w:t>
      </w:r>
    </w:p>
    <w:p>
      <w:pPr>
        <w:numPr>
          <w:ilvl w:val="0"/>
          <w:numId w:val="1002"/>
        </w:numPr>
        <w:pStyle w:val="Compact"/>
      </w:pPr>
      <w:r>
        <w:rPr>
          <w:bCs/>
          <w:b/>
        </w:rPr>
        <w:t xml:space="preserve">Renewable Energy Usage:</w:t>
      </w:r>
      <w:r>
        <w:t xml:space="preserve"> </w:t>
      </w:r>
      <w:r>
        <w:t xml:space="preserve">jwdjkkissp (e.g., 60%)</w:t>
      </w:r>
    </w:p>
    <w:bookmarkEnd w:id="25"/>
    <w:bookmarkStart w:id="26" w:name="lifecycle-stages-considered"/>
    <w:p>
      <w:pPr>
        <w:pStyle w:val="Heading3"/>
      </w:pPr>
      <w:r>
        <w:t xml:space="preserve">2.3. Lifecycle Stages Considered</w:t>
      </w:r>
    </w:p>
    <w:p>
      <w:pPr>
        <w:pStyle w:val="FirstParagraph"/>
      </w:pPr>
      <w:r>
        <w:t xml:space="preserve">The following lifecycle stages are included in the assessment:</w:t>
      </w:r>
    </w:p>
    <w:p>
      <w:pPr>
        <w:numPr>
          <w:ilvl w:val="0"/>
          <w:numId w:val="1003"/>
        </w:numPr>
        <w:pStyle w:val="Compact"/>
      </w:pPr>
      <w:r>
        <w:rPr>
          <w:bCs/>
          <w:b/>
        </w:rPr>
        <w:t xml:space="preserve">Material Acquisition &amp; Pre-processing:</w:t>
      </w:r>
      <w:r>
        <w:t xml:space="preserve"> </w:t>
      </w:r>
      <w:r>
        <w:t xml:space="preserve">Emissions associated with raw material extraction, refining, and component manufacturing (as per BOM).</w:t>
      </w:r>
    </w:p>
    <w:p>
      <w:pPr>
        <w:numPr>
          <w:ilvl w:val="0"/>
          <w:numId w:val="1003"/>
        </w:numPr>
        <w:pStyle w:val="Compact"/>
      </w:pPr>
      <w:r>
        <w:rPr>
          <w:bCs/>
          <w:b/>
        </w:rPr>
        <w:t xml:space="preserve">Manufacturing:</w:t>
      </w:r>
      <w:r>
        <w:t xml:space="preserve"> </w:t>
      </w:r>
      <w:r>
        <w:t xml:space="preserve">Energy consumption at the final assembly plant in China.</w:t>
      </w:r>
    </w:p>
    <w:p>
      <w:pPr>
        <w:numPr>
          <w:ilvl w:val="0"/>
          <w:numId w:val="1003"/>
        </w:numPr>
        <w:pStyle w:val="Compact"/>
      </w:pPr>
      <w:r>
        <w:rPr>
          <w:bCs/>
          <w:b/>
        </w:rPr>
        <w:t xml:space="preserve">Transportation &amp; Distribution (Upstream):</w:t>
      </w:r>
      <w:r>
        <w:t xml:space="preserve"> </w:t>
      </w:r>
      <w:r>
        <w:t xml:space="preserve">Transport of raw materials and components from European suppliers to the manufacturing facility in China.</w:t>
      </w:r>
    </w:p>
    <w:p>
      <w:pPr>
        <w:numPr>
          <w:ilvl w:val="0"/>
          <w:numId w:val="1003"/>
        </w:numPr>
        <w:pStyle w:val="Compact"/>
      </w:pPr>
      <w:r>
        <w:rPr>
          <w:bCs/>
          <w:b/>
        </w:rPr>
        <w:t xml:space="preserve">Transportation &amp; Distribution (Downstream):</w:t>
      </w:r>
      <w:r>
        <w:t xml:space="preserve"> </w:t>
      </w:r>
      <w:r>
        <w:t xml:space="preserve">Transport of the finished product to the end-consumer, including last-mile delivery.</w:t>
      </w:r>
    </w:p>
    <w:p>
      <w:pPr>
        <w:numPr>
          <w:ilvl w:val="0"/>
          <w:numId w:val="1003"/>
        </w:numPr>
        <w:pStyle w:val="Compact"/>
      </w:pPr>
      <w:r>
        <w:rPr>
          <w:bCs/>
          <w:b/>
        </w:rPr>
        <w:t xml:space="preserve">Use Phase:</w:t>
      </w:r>
      <w:r>
        <w:t xml:space="preserve"> </w:t>
      </w:r>
      <w:r>
        <w:t xml:space="preserve">Energy consumption during the product\'s operational lifetime.</w:t>
      </w:r>
    </w:p>
    <w:p>
      <w:pPr>
        <w:numPr>
          <w:ilvl w:val="0"/>
          <w:numId w:val="1003"/>
        </w:numPr>
        <w:pStyle w:val="Compact"/>
      </w:pPr>
      <w:r>
        <w:rPr>
          <w:bCs/>
          <w:b/>
        </w:rPr>
        <w:t xml:space="preserve">End-of-Life (EoL):</w:t>
      </w:r>
      <w:r>
        <w:t xml:space="preserve"> </w:t>
      </w:r>
      <w:r>
        <w:t xml:space="preserve">Emissions/credits associated with recycling and disposal of the product.</w:t>
      </w:r>
    </w:p>
    <w:bookmarkEnd w:id="26"/>
    <w:bookmarkEnd w:id="27"/>
    <w:p>
      <w:r>
        <w:pict>
          <v:rect style="width:0;height:1.5pt" o:hralign="center" o:hrstd="t" o:hr="t"/>
        </w:pict>
      </w:r>
    </w:p>
    <w:bookmarkStart w:id="30" w:name="collect-data"/>
    <w:p>
      <w:pPr>
        <w:pStyle w:val="Heading2"/>
      </w:pPr>
      <w:r>
        <w:t xml:space="preserve">3. Collect Data</w:t>
      </w:r>
    </w:p>
    <w:p>
      <w:pPr>
        <w:pStyle w:val="FirstParagraph"/>
      </w:pPr>
      <w:r>
        <w:t xml:space="preserve">Data collection involved gathering both primary and secondary data points to ensure the accuracy and comprehensiveness of the PCF analysis.</w:t>
      </w:r>
    </w:p>
    <w:bookmarkStart w:id="28" w:name="primary-data-points"/>
    <w:p>
      <w:pPr>
        <w:pStyle w:val="Heading3"/>
      </w:pPr>
      <w:r>
        <w:t xml:space="preserve">3.1. Primary Data Points</w:t>
      </w:r>
    </w:p>
    <w:p>
      <w:pPr>
        <w:pStyle w:val="FirstParagraph"/>
      </w:pPr>
      <w:r>
        <w:t xml:space="preserve">Specific operational data provided by fyzpzxrjxe was utilized, including:</w:t>
      </w:r>
    </w:p>
    <w:p>
      <w:pPr>
        <w:numPr>
          <w:ilvl w:val="0"/>
          <w:numId w:val="1004"/>
        </w:numPr>
        <w:pStyle w:val="Compact"/>
      </w:pPr>
      <w:r>
        <w:rPr>
          <w:bCs/>
          <w:b/>
        </w:rPr>
        <w:t xml:space="preserve">Detailed Bill of Materials (BOM):</w:t>
      </w:r>
      <w:r>
        <w:t xml:space="preserve"> </w:t>
      </w:r>
      <w:r>
        <w:t xml:space="preserve">qzpvdkql (as detailed in Section 2.1).</w:t>
      </w:r>
    </w:p>
    <w:p>
      <w:pPr>
        <w:numPr>
          <w:ilvl w:val="0"/>
          <w:numId w:val="1004"/>
        </w:numPr>
        <w:pStyle w:val="Compact"/>
      </w:pPr>
      <w:r>
        <w:rPr>
          <w:bCs/>
          <w:b/>
        </w:rPr>
        <w:t xml:space="preserve">Transport Mode (Upstream):</w:t>
      </w:r>
      <w:r>
        <w:t xml:space="preserve"> </w:t>
      </w:r>
      <w:r>
        <w:t xml:space="preserve">Select Mode (e.g., Road Freight - Heavy Duty Truck).</w:t>
      </w:r>
    </w:p>
    <w:p>
      <w:pPr>
        <w:numPr>
          <w:ilvl w:val="0"/>
          <w:numId w:val="1004"/>
        </w:numPr>
        <w:pStyle w:val="Compact"/>
      </w:pPr>
      <w:r>
        <w:rPr>
          <w:bCs/>
          <w:b/>
        </w:rPr>
        <w:t xml:space="preserve">Transport Distance (Upstream):</w:t>
      </w:r>
      <w:r>
        <w:t xml:space="preserve"> </w:t>
      </w:r>
      <w:r>
        <w:t xml:space="preserve">ljgwhqmwix (e.g., 1500 km, for primary component transport to production).</w:t>
      </w:r>
    </w:p>
    <w:p>
      <w:pPr>
        <w:numPr>
          <w:ilvl w:val="0"/>
          <w:numId w:val="1004"/>
        </w:numPr>
        <w:pStyle w:val="Compact"/>
      </w:pPr>
      <w:r>
        <w:rPr>
          <w:bCs/>
          <w:b/>
        </w:rPr>
        <w:t xml:space="preserve">Last-Mile Delivery Channel (Downstream):</w:t>
      </w:r>
      <w:r>
        <w:t xml:space="preserve"> </w:t>
      </w:r>
      <w:r>
        <w:t xml:space="preserve">Delivery Type (e.g., Light Commercial Van).</w:t>
      </w:r>
    </w:p>
    <w:p>
      <w:pPr>
        <w:numPr>
          <w:ilvl w:val="0"/>
          <w:numId w:val="1004"/>
        </w:numPr>
        <w:pStyle w:val="Compact"/>
      </w:pPr>
      <w:r>
        <w:rPr>
          <w:bCs/>
          <w:b/>
        </w:rPr>
        <w:t xml:space="preserve">Renewable Energy Usage (Production):</w:t>
      </w:r>
      <w:r>
        <w:t xml:space="preserve"> </w:t>
      </w:r>
      <w:r>
        <w:t xml:space="preserve">jwdjkkissp (e.g., 60% of electricity purchased from renewable sources).</w:t>
      </w:r>
    </w:p>
    <w:p>
      <w:pPr>
        <w:numPr>
          <w:ilvl w:val="0"/>
          <w:numId w:val="1004"/>
        </w:numPr>
        <w:pStyle w:val="Compact"/>
      </w:pPr>
      <w:r>
        <w:rPr>
          <w:bCs/>
          <w:b/>
        </w:rPr>
        <w:t xml:space="preserve">Energy Intensity (Production):</w:t>
      </w:r>
      <w:r>
        <w:t xml:space="preserve"> </w:t>
      </w:r>
      <w:r>
        <w:t xml:space="preserve">dyertlslmf (e.g., 15 kWh per unit produced).</w:t>
      </w:r>
    </w:p>
    <w:p>
      <w:pPr>
        <w:numPr>
          <w:ilvl w:val="0"/>
          <w:numId w:val="1004"/>
        </w:numPr>
        <w:pStyle w:val="Compact"/>
      </w:pPr>
      <w:r>
        <w:rPr>
          <w:bCs/>
          <w:b/>
        </w:rPr>
        <w:t xml:space="preserve">Product Lifespan:</w:t>
      </w:r>
      <w:r>
        <w:t xml:space="preserve"> </w:t>
      </w:r>
      <w:r>
        <w:t xml:space="preserve">yugpmeofsp (e.g., 5 years).</w:t>
      </w:r>
    </w:p>
    <w:p>
      <w:pPr>
        <w:numPr>
          <w:ilvl w:val="0"/>
          <w:numId w:val="1004"/>
        </w:numPr>
        <w:pStyle w:val="Compact"/>
      </w:pPr>
      <w:r>
        <w:rPr>
          <w:bCs/>
          <w:b/>
        </w:rPr>
        <w:t xml:space="preserve">Energy Consumption in Use:</w:t>
      </w:r>
      <w:r>
        <w:t xml:space="preserve"> </w:t>
      </w:r>
      <w:r>
        <w:t xml:space="preserve">hqhgizwzvq (e.g., 20 kWh per year).</w:t>
      </w:r>
    </w:p>
    <w:p>
      <w:pPr>
        <w:numPr>
          <w:ilvl w:val="0"/>
          <w:numId w:val="1004"/>
        </w:numPr>
        <w:pStyle w:val="Compact"/>
      </w:pPr>
      <w:r>
        <w:rPr>
          <w:bCs/>
          <w:b/>
        </w:rPr>
        <w:t xml:space="preserve">Recyclability Percentage (EoL):</w:t>
      </w:r>
      <w:r>
        <w:t xml:space="preserve"> </w:t>
      </w:r>
      <w:r>
        <w:t xml:space="preserve">nrfxtgwmow (e.g., 70% of product by weight is recyclable).</w:t>
      </w:r>
    </w:p>
    <w:p>
      <w:pPr>
        <w:numPr>
          <w:ilvl w:val="0"/>
          <w:numId w:val="1004"/>
        </w:numPr>
        <w:pStyle w:val="Compact"/>
      </w:pPr>
      <w:r>
        <w:rPr>
          <w:bCs/>
          <w:b/>
        </w:rPr>
        <w:t xml:space="preserve">Circular/Take-back Programs:</w:t>
      </w:r>
      <w:r>
        <w:t xml:space="preserve"> </w:t>
      </w:r>
      <w:r>
        <w:t xml:space="preserve">phmvshfxiu (e.g., Active Take-back Program in key markets).</w:t>
      </w:r>
    </w:p>
    <w:bookmarkEnd w:id="28"/>
    <w:bookmarkStart w:id="29" w:name="secondary-data-emission-factors"/>
    <w:p>
      <w:pPr>
        <w:pStyle w:val="Heading3"/>
      </w:pPr>
      <w:r>
        <w:t xml:space="preserve">3.2. Secondary Data &amp; Emission Factors</w:t>
      </w:r>
    </w:p>
    <w:p>
      <w:pPr>
        <w:pStyle w:val="FirstParagraph"/>
      </w:pPr>
      <w:r>
        <w:t xml:space="preserve">Where primary data was unavailable or to supplement calculations, industry-standard secondary data and emission factors were utilized, primarily from databases such as Ecoinvent and DEFRA. Key assumptions include:</w:t>
      </w:r>
    </w:p>
    <w:p>
      <w:pPr>
        <w:numPr>
          <w:ilvl w:val="0"/>
          <w:numId w:val="1005"/>
        </w:numPr>
        <w:pStyle w:val="Compact"/>
      </w:pPr>
      <w:r>
        <w:rPr>
          <w:bCs/>
          <w:b/>
        </w:rPr>
        <w:t xml:space="preserve">Electricity Emission Factor (China Grid Mix):</w:t>
      </w:r>
      <w:r>
        <w:t xml:space="preserve"> </w:t>
      </w:r>
      <w:r>
        <w:t xml:space="preserve">Approximately 0.6 kg CO2e/kWh (used for non-renewable portion of production energy and general consumer use).</w:t>
      </w:r>
    </w:p>
    <w:p>
      <w:pPr>
        <w:numPr>
          <w:ilvl w:val="0"/>
          <w:numId w:val="1005"/>
        </w:numPr>
        <w:pStyle w:val="Compact"/>
      </w:pPr>
      <w:r>
        <w:rPr>
          <w:bCs/>
          <w:b/>
        </w:rPr>
        <w:t xml:space="preserve">Road Freight Emission Factor (Heavy Duty Truck):</w:t>
      </w:r>
      <w:r>
        <w:t xml:space="preserve"> </w:t>
      </w:r>
      <w:r>
        <w:t xml:space="preserve">Approximately 0.1 kg CO2e/tonne-km.</w:t>
      </w:r>
    </w:p>
    <w:p>
      <w:pPr>
        <w:numPr>
          <w:ilvl w:val="0"/>
          <w:numId w:val="1005"/>
        </w:numPr>
        <w:pStyle w:val="Compact"/>
      </w:pPr>
      <w:r>
        <w:rPr>
          <w:bCs/>
          <w:b/>
        </w:rPr>
        <w:t xml:space="preserve">Light Commercial Van Emission Factor (Last-Mile):</w:t>
      </w:r>
      <w:r>
        <w:t xml:space="preserve"> </w:t>
      </w:r>
      <w:r>
        <w:t xml:space="preserve">Approximately 0.2 kg CO2e/tonne-km.</w:t>
      </w:r>
    </w:p>
    <w:p>
      <w:pPr>
        <w:numPr>
          <w:ilvl w:val="0"/>
          <w:numId w:val="1005"/>
        </w:numPr>
        <w:pStyle w:val="Compact"/>
      </w:pPr>
      <w:r>
        <w:rPr>
          <w:bCs/>
          <w:b/>
        </w:rPr>
        <w:t xml:space="preserve">Generic End-of-Life Emission Factors:</w:t>
      </w:r>
      <w:r>
        <w:t xml:space="preserve"> </w:t>
      </w:r>
      <w:r>
        <w:t xml:space="preserve">Assumed typical emissions for recycling processes and landfill disposal.</w:t>
      </w:r>
    </w:p>
    <w:p>
      <w:pPr>
        <w:numPr>
          <w:ilvl w:val="0"/>
          <w:numId w:val="1005"/>
        </w:numPr>
        <w:pStyle w:val="Compact"/>
      </w:pPr>
      <w:r>
        <w:rPr>
          <w:bCs/>
          <w:b/>
        </w:rPr>
        <w:t xml:space="preserve">Product Weight for Transport:</w:t>
      </w:r>
      <w:r>
        <w:t xml:space="preserve"> </w:t>
      </w:r>
      <w:r>
        <w:t xml:space="preserve">Assumed average product weight of 1 kg based on BOM quantities.</w:t>
      </w:r>
    </w:p>
    <w:bookmarkEnd w:id="29"/>
    <w:bookmarkEnd w:id="30"/>
    <w:p>
      <w:r>
        <w:pict>
          <v:rect style="width:0;height:1.5pt" o:hralign="center" o:hrstd="t" o:hr="t"/>
        </w:pict>
      </w:r>
    </w:p>
    <w:bookmarkStart w:id="43" w:name="calculate-emissions-co2e"/>
    <w:p>
      <w:pPr>
        <w:pStyle w:val="Heading2"/>
      </w:pPr>
      <w:r>
        <w:t xml:space="preserve">4. Calculate Emissions (CO2e)</w:t>
      </w:r>
    </w:p>
    <w:p>
      <w:pPr>
        <w:pStyle w:val="FirstParagraph"/>
      </w:pPr>
      <w:r>
        <w:t xml:space="preserve">This section details the calculation of greenhouse gas emissions (in CO2e) for each lifecycle stage, categorized according to the GHG Protocol Scopes. The total carbon footprint for jzddgklghl is derived from these calculations.</w:t>
      </w:r>
    </w:p>
    <w:bookmarkStart w:id="31" w:name="total-product-carbon-footprint"/>
    <w:p>
      <w:pPr>
        <w:pStyle w:val="Heading3"/>
      </w:pPr>
      <w:r>
        <w:t xml:space="preserve">4.1. Total Product Carbon Footprint</w:t>
      </w:r>
    </w:p>
    <w:p>
      <w:pPr>
        <w:pStyle w:val="FirstParagraph"/>
      </w:pPr>
      <w:r>
        <w:t xml:space="preserve">Based on the defined scope and collected data, the estimated total Product Carbon Footprint for one functional unit of jzddgklghl is:</w:t>
      </w:r>
    </w:p>
    <w:p>
      <w:pPr>
        <w:pStyle w:val="BodyText"/>
      </w:pPr>
      <w:r>
        <w:t xml:space="preserve">69.31 kg CO2e per unit</w:t>
      </w:r>
    </w:p>
    <w:bookmarkEnd w:id="31"/>
    <w:bookmarkStart w:id="39" w:name="emissions-by-ghg-protocol-scope"/>
    <w:p>
      <w:pPr>
        <w:pStyle w:val="Heading3"/>
      </w:pPr>
      <w:r>
        <w:t xml:space="preserve">4.2. Emissions by GHG Protocol Scope</w:t>
      </w:r>
    </w:p>
    <w:bookmarkStart w:id="32" w:name="scope-1-emissions-direct-emissions"/>
    <w:p>
      <w:pPr>
        <w:pStyle w:val="Heading4"/>
      </w:pPr>
      <w:r>
        <w:t xml:space="preserve">4.2.1. Scope 1 Emissions (Direct Emissions)</w:t>
      </w:r>
    </w:p>
    <w:p>
      <w:pPr>
        <w:pStyle w:val="FirstParagraph"/>
      </w:pPr>
      <w:r>
        <w:t xml:space="preserve">Scope 1 emissions refer to direct GHG emissions from sources owned or controlled by fyzpzxrjxe. Given the \'factory_gate\' system boundary for direct emissions in this PCF, and without specific information on direct combustion (e.g., from company-owned vehicles or on-site boilers) related directly to the manufacturing of jzddgklghl, these emissions are assumed to be negligible for the product unit.</w:t>
      </w:r>
    </w:p>
    <w:p>
      <w:pPr>
        <w:pStyle w:val="BodyText"/>
      </w:pPr>
      <w:r>
        <w:rPr>
          <w:bCs/>
          <w:b/>
        </w:rPr>
        <w:t xml:space="preserve">Calculated Scope 1 Emissions: 0.00 kg CO2e</w:t>
      </w:r>
    </w:p>
    <w:bookmarkEnd w:id="32"/>
    <w:bookmarkStart w:id="33" w:name="scope-2-emissions-purchased-energy"/>
    <w:p>
      <w:pPr>
        <w:pStyle w:val="Heading4"/>
      </w:pPr>
      <w:r>
        <w:t xml:space="preserve">4.2.2. Scope 2 Emissions (Purchased Energy)</w:t>
      </w:r>
    </w:p>
    <w:p>
      <w:pPr>
        <w:pStyle w:val="FirstParagraph"/>
      </w:pPr>
      <w:r>
        <w:t xml:space="preserve">Scope 2 emissions account for GHG emissions from the generation of purchased electricity, heat, or steam consumed by fyzpzxrjxe\'s manufacturing facility for jzddgklghl.</w:t>
      </w:r>
    </w:p>
    <w:p>
      <w:pPr>
        <w:numPr>
          <w:ilvl w:val="0"/>
          <w:numId w:val="1006"/>
        </w:numPr>
        <w:pStyle w:val="Compact"/>
      </w:pPr>
      <w:r>
        <w:t xml:space="preserve">Energy Intensity: 15 kWh/unit</w:t>
      </w:r>
    </w:p>
    <w:p>
      <w:pPr>
        <w:numPr>
          <w:ilvl w:val="0"/>
          <w:numId w:val="1006"/>
        </w:numPr>
        <w:pStyle w:val="Compact"/>
      </w:pPr>
      <w:r>
        <w:t xml:space="preserve">Renewable Energy Usage: 60%</w:t>
      </w:r>
    </w:p>
    <w:p>
      <w:pPr>
        <w:numPr>
          <w:ilvl w:val="0"/>
          <w:numId w:val="1006"/>
        </w:numPr>
        <w:pStyle w:val="Compact"/>
      </w:pPr>
      <w:r>
        <w:t xml:space="preserve">Non-renewable electricity percentage: (1 - 0.60) = 40%</w:t>
      </w:r>
    </w:p>
    <w:p>
      <w:pPr>
        <w:numPr>
          <w:ilvl w:val="0"/>
          <w:numId w:val="1006"/>
        </w:numPr>
        <w:pStyle w:val="Compact"/>
      </w:pPr>
      <w:r>
        <w:t xml:space="preserve">China Grid Emission Factor: 0.6 kg CO2e/kWh</w:t>
      </w:r>
    </w:p>
    <w:p>
      <w:pPr>
        <w:pStyle w:val="FirstParagraph"/>
      </w:pPr>
      <w:r>
        <w:t xml:space="preserve">Calculation: 15 kWh/unit * 0.40 * 0.6 kg CO2e/kWh = 3.6 kg CO2e</w:t>
      </w:r>
    </w:p>
    <w:p>
      <w:pPr>
        <w:pStyle w:val="BodyText"/>
      </w:pPr>
      <w:r>
        <w:rPr>
          <w:bCs/>
          <w:b/>
        </w:rPr>
        <w:t xml:space="preserve">Calculated Scope 2 Emissions: 3.60 kg CO2e</w:t>
      </w:r>
    </w:p>
    <w:bookmarkEnd w:id="33"/>
    <w:bookmarkStart w:id="38" w:name="scope-3-emissions-value-chain"/>
    <w:p>
      <w:pPr>
        <w:pStyle w:val="Heading4"/>
      </w:pPr>
      <w:r>
        <w:t xml:space="preserve">4.2.3. Scope 3 Emissions (Value Chain)</w:t>
      </w:r>
    </w:p>
    <w:p>
      <w:pPr>
        <w:pStyle w:val="FirstParagraph"/>
      </w:pPr>
      <w:r>
        <w:t xml:space="preserve">Scope 3 emissions are all indirect emissions (not included in Scope 2) that occur in the value chain of the reporting company, both upstream and downstream. This analysis ensures at least 95% coverage for Scope 3 reporting as per 2026 requirements.</w:t>
      </w:r>
    </w:p>
    <w:bookmarkStart w:id="34" w:name="Xab9729a0caae076ca89f2f71668734f92723cf2"/>
    <w:p>
      <w:pPr>
        <w:pStyle w:val="Heading5"/>
      </w:pPr>
      <w:r>
        <w:t xml:space="preserve">4.2.3.1. Category 1: Purchased Goods and Services (Materials)</w:t>
      </w:r>
    </w:p>
    <w:p>
      <w:pPr>
        <w:pStyle w:val="FirstParagraph"/>
      </w:pPr>
      <w:r>
        <w:t xml:space="preserve">This category includes emissions from the extraction, production, and transportation of raw materials and components purchased for jzddgklghl, as provided in the Detailed Bill of Materials (BOM).</w:t>
      </w:r>
    </w:p>
    <w:p>
      <w:pPr>
        <w:pStyle w:val="BodyText"/>
      </w:pPr>
      <w:r>
        <w:t xml:space="preserve">The \'Total Carbon\' values in the BOM already represent the emissions associated with each material from cradle-to-gate. Summing these values:</w:t>
      </w:r>
    </w:p>
    <w:p>
      <w:pPr>
        <w:pStyle w:val="BodyText"/>
      </w:pPr>
      <w:r>
        <w:rPr>
          <w:bCs/>
          <w:b/>
        </w:rPr>
        <w:t xml:space="preserve">Total Material Carbon Footprint: 5.51 kg CO2e</w:t>
      </w:r>
    </w:p>
    <w:bookmarkEnd w:id="34"/>
    <w:bookmarkStart w:id="35" w:name="X7e671b52d365aef499a97455c5d26dfefb4abf3"/>
    <w:p>
      <w:pPr>
        <w:pStyle w:val="Heading5"/>
      </w:pPr>
      <w:r>
        <w:t xml:space="preserve">4.2.3.2. Category 4: Transportation and Distribution (Upstream &amp; Downstream)</w:t>
      </w:r>
    </w:p>
    <w:p>
      <w:pPr>
        <w:pStyle w:val="FirstParagraph"/>
      </w:pPr>
      <w:r>
        <w:t xml:space="preserve">This covers emissions from the transportation of materials and components to the manufacturing site (upstream) and the transportation of the finished product to the customer (downstream).</w:t>
      </w:r>
    </w:p>
    <w:p>
      <w:pPr>
        <w:numPr>
          <w:ilvl w:val="0"/>
          <w:numId w:val="1007"/>
        </w:numPr>
        <w:pStyle w:val="Compact"/>
      </w:pPr>
      <w:r>
        <w:rPr>
          <w:bCs/>
          <w:b/>
        </w:rPr>
        <w:t xml:space="preserve">Upstream Transport:</w:t>
      </w:r>
    </w:p>
    <w:p>
      <w:pPr>
        <w:numPr>
          <w:ilvl w:val="1"/>
          <w:numId w:val="1008"/>
        </w:numPr>
        <w:pStyle w:val="Compact"/>
      </w:pPr>
      <w:r>
        <w:t xml:space="preserve">Product Weight (assumed): 1 kg</w:t>
      </w:r>
    </w:p>
    <w:p>
      <w:pPr>
        <w:numPr>
          <w:ilvl w:val="1"/>
          <w:numId w:val="1008"/>
        </w:numPr>
        <w:pStyle w:val="Compact"/>
      </w:pPr>
      <w:r>
        <w:t xml:space="preserve">Transport Mode: Road Freight (Heavy Duty Truck)</w:t>
      </w:r>
    </w:p>
    <w:p>
      <w:pPr>
        <w:numPr>
          <w:ilvl w:val="1"/>
          <w:numId w:val="1008"/>
        </w:numPr>
        <w:pStyle w:val="Compact"/>
      </w:pPr>
      <w:r>
        <w:t xml:space="preserve">Transport Distance: 1500 km (ljgwhqmwix)</w:t>
      </w:r>
    </w:p>
    <w:p>
      <w:pPr>
        <w:numPr>
          <w:ilvl w:val="1"/>
          <w:numId w:val="1008"/>
        </w:numPr>
        <w:pStyle w:val="Compact"/>
      </w:pPr>
      <w:r>
        <w:t xml:space="preserve">Emission Factor: 0.1 kg CO2e/tonne-km</w:t>
      </w:r>
    </w:p>
    <w:p>
      <w:pPr>
        <w:numPr>
          <w:ilvl w:val="1"/>
          <w:numId w:val="1008"/>
        </w:numPr>
        <w:pStyle w:val="Compact"/>
      </w:pPr>
      <w:r>
        <w:t xml:space="preserve">Calculation: (1 kg / 1000) * 1500 km * 0.1 kg CO2e/tonne-km = 0.15 kg CO2e</w:t>
      </w:r>
    </w:p>
    <w:p>
      <w:pPr>
        <w:numPr>
          <w:ilvl w:val="0"/>
          <w:numId w:val="1007"/>
        </w:numPr>
        <w:pStyle w:val="Compact"/>
      </w:pPr>
      <w:r>
        <w:rPr>
          <w:bCs/>
          <w:b/>
        </w:rPr>
        <w:t xml:space="preserve">Downstream Transport (Last-Mile Delivery):</w:t>
      </w:r>
    </w:p>
    <w:p>
      <w:pPr>
        <w:numPr>
          <w:ilvl w:val="1"/>
          <w:numId w:val="1009"/>
        </w:numPr>
        <w:pStyle w:val="Compact"/>
      </w:pPr>
      <w:r>
        <w:t xml:space="preserve">Product Weight (assumed): 1 kg</w:t>
      </w:r>
    </w:p>
    <w:p>
      <w:pPr>
        <w:numPr>
          <w:ilvl w:val="1"/>
          <w:numId w:val="1009"/>
        </w:numPr>
        <w:pStyle w:val="Compact"/>
      </w:pPr>
      <w:r>
        <w:t xml:space="preserve">Delivery Type: Light Commercial Van</w:t>
      </w:r>
    </w:p>
    <w:p>
      <w:pPr>
        <w:numPr>
          <w:ilvl w:val="1"/>
          <w:numId w:val="1009"/>
        </w:numPr>
        <w:pStyle w:val="Compact"/>
      </w:pPr>
      <w:r>
        <w:t xml:space="preserve">Assumed Last-Mile Distance: 50 km</w:t>
      </w:r>
    </w:p>
    <w:p>
      <w:pPr>
        <w:numPr>
          <w:ilvl w:val="1"/>
          <w:numId w:val="1009"/>
        </w:numPr>
        <w:pStyle w:val="Compact"/>
      </w:pPr>
      <w:r>
        <w:t xml:space="preserve">Emission Factor: 0.2 kg CO2e/tonne-km</w:t>
      </w:r>
    </w:p>
    <w:p>
      <w:pPr>
        <w:numPr>
          <w:ilvl w:val="1"/>
          <w:numId w:val="1009"/>
        </w:numPr>
        <w:pStyle w:val="Compact"/>
      </w:pPr>
      <w:r>
        <w:t xml:space="preserve">Calculation: (1 kg / 1000) * 50 km * 0.2 kg CO2e/tonne-km = 0.01 kg CO2e</w:t>
      </w:r>
    </w:p>
    <w:p>
      <w:pPr>
        <w:pStyle w:val="FirstParagraph"/>
      </w:pPr>
      <w:r>
        <w:rPr>
          <w:bCs/>
          <w:b/>
        </w:rPr>
        <w:t xml:space="preserve">Total Transportation Emissions: 0.15 + 0.01 = 0.16 kg CO2e</w:t>
      </w:r>
    </w:p>
    <w:bookmarkEnd w:id="35"/>
    <w:bookmarkStart w:id="36" w:name="category-11-use-of-sold-products"/>
    <w:p>
      <w:pPr>
        <w:pStyle w:val="Heading5"/>
      </w:pPr>
      <w:r>
        <w:t xml:space="preserve">4.2.3.3. Category 11: Use of Sold Products</w:t>
      </w:r>
    </w:p>
    <w:p>
      <w:pPr>
        <w:pStyle w:val="FirstParagraph"/>
      </w:pPr>
      <w:r>
        <w:t xml:space="preserve">This category includes emissions from the use phase of jzddgklghl over its lifespan, primarily driven by energy consumption.</w:t>
      </w:r>
    </w:p>
    <w:p>
      <w:pPr>
        <w:numPr>
          <w:ilvl w:val="0"/>
          <w:numId w:val="1010"/>
        </w:numPr>
        <w:pStyle w:val="Compact"/>
      </w:pPr>
      <w:r>
        <w:t xml:space="preserve">Product Lifespan: 5 years (yugpmeofsp)</w:t>
      </w:r>
    </w:p>
    <w:p>
      <w:pPr>
        <w:numPr>
          <w:ilvl w:val="0"/>
          <w:numId w:val="1010"/>
        </w:numPr>
        <w:pStyle w:val="Compact"/>
      </w:pPr>
      <w:r>
        <w:t xml:space="preserve">Energy Consumption in Use: 20 kWh/year (hqhgizwzvq)</w:t>
      </w:r>
    </w:p>
    <w:p>
      <w:pPr>
        <w:numPr>
          <w:ilvl w:val="0"/>
          <w:numId w:val="1010"/>
        </w:numPr>
        <w:pStyle w:val="Compact"/>
      </w:pPr>
      <w:r>
        <w:t xml:space="preserve">Assumed Electricity Emission Factor (for consumer use): 0.6 kg CO2e/kWh</w:t>
      </w:r>
    </w:p>
    <w:p>
      <w:pPr>
        <w:pStyle w:val="FirstParagraph"/>
      </w:pPr>
      <w:r>
        <w:t xml:space="preserve">Calculation: (20 kWh/year * 5 years) * 0.6 kg CO2e/kWh = 60 kg CO2e</w:t>
      </w:r>
    </w:p>
    <w:p>
      <w:pPr>
        <w:pStyle w:val="BodyText"/>
      </w:pPr>
      <w:r>
        <w:rPr>
          <w:bCs/>
          <w:b/>
        </w:rPr>
        <w:t xml:space="preserve">Calculated Use Phase Emissions: 60.00 kg CO2e</w:t>
      </w:r>
    </w:p>
    <w:bookmarkEnd w:id="36"/>
    <w:bookmarkStart w:id="37" w:name="X9f66eef2700632e081dfe139021cb724ffcd2c5"/>
    <w:p>
      <w:pPr>
        <w:pStyle w:val="Heading5"/>
      </w:pPr>
      <w:r>
        <w:t xml:space="preserve">4.2.3.4. Category 12: End-of-Life Treatment of Sold Products</w:t>
      </w:r>
    </w:p>
    <w:p>
      <w:pPr>
        <w:pStyle w:val="FirstParagraph"/>
      </w:pPr>
      <w:r>
        <w:t xml:space="preserve">This category covers emissions associated with the disposal and treatment of jzddgklghl at the end of its life, considering its recyclability and the presence of circular programs.</w:t>
      </w:r>
    </w:p>
    <w:p>
      <w:pPr>
        <w:numPr>
          <w:ilvl w:val="0"/>
          <w:numId w:val="1011"/>
        </w:numPr>
        <w:pStyle w:val="Compact"/>
      </w:pPr>
      <w:r>
        <w:t xml:space="preserve">Recyclability Percentage: 70% (nrfxtgwmow)</w:t>
      </w:r>
    </w:p>
    <w:p>
      <w:pPr>
        <w:numPr>
          <w:ilvl w:val="0"/>
          <w:numId w:val="1011"/>
        </w:numPr>
        <w:pStyle w:val="Compact"/>
      </w:pPr>
      <w:r>
        <w:t xml:space="preserve">Circular/Take-back Programs: Active Take-back Program (phmvshfxiu)</w:t>
      </w:r>
    </w:p>
    <w:p>
      <w:pPr>
        <w:numPr>
          <w:ilvl w:val="0"/>
          <w:numId w:val="1011"/>
        </w:numPr>
        <w:pStyle w:val="Compact"/>
      </w:pPr>
      <w:r>
        <w:t xml:space="preserve">Assumed End-of-Life Emission Factor: A simplified factor of 0.05 kg CO2e/kg for overall end-of-life processing, considering the benefits of recycling and the presence of take-back programs which reduce waste.</w:t>
      </w:r>
    </w:p>
    <w:p>
      <w:pPr>
        <w:numPr>
          <w:ilvl w:val="0"/>
          <w:numId w:val="1011"/>
        </w:numPr>
        <w:pStyle w:val="Compact"/>
      </w:pPr>
      <w:r>
        <w:t xml:space="preserve">Product Weight (assumed for EoL): 1 kg</w:t>
      </w:r>
    </w:p>
    <w:p>
      <w:pPr>
        <w:pStyle w:val="FirstParagraph"/>
      </w:pPr>
      <w:r>
        <w:t xml:space="preserve">Calculation: 1 kg * 0.05 kg CO2e/kg = 0.05 kg CO2e</w:t>
      </w:r>
    </w:p>
    <w:p>
      <w:pPr>
        <w:pStyle w:val="BodyText"/>
      </w:pPr>
      <w:r>
        <w:t xml:space="preserve">The active take-back programs and high recyclability percentage significantly mitigate the potential negative impacts from end-of-life, leading to a relatively low net emission value compared to products with poor EoL management. These programs often result in avoided emissions by diverting materials from landfills and incinerators and keeping them in the circular economy.</w:t>
      </w:r>
    </w:p>
    <w:p>
      <w:pPr>
        <w:pStyle w:val="BodyText"/>
      </w:pPr>
      <w:r>
        <w:rPr>
          <w:bCs/>
          <w:b/>
        </w:rPr>
        <w:t xml:space="preserve">Calculated End-of-Life Emissions: 0.05 kg CO2e</w:t>
      </w:r>
    </w:p>
    <w:bookmarkEnd w:id="37"/>
    <w:bookmarkEnd w:id="38"/>
    <w:bookmarkEnd w:id="39"/>
    <w:bookmarkStart w:id="40" w:name="X5a4f551c90074bc557f30e0af419a5f70a48401"/>
    <w:p>
      <w:pPr>
        <w:pStyle w:val="Heading3"/>
      </w:pPr>
      <w:r>
        <w:t xml:space="preserve">4.3. 2026 Land Sector and Removals (LSR) Standard Application</w:t>
      </w:r>
    </w:p>
    <w:p>
      <w:pPr>
        <w:pStyle w:val="FirstParagraph"/>
      </w:pPr>
      <w:r>
        <w:t xml:space="preserve">In accordance with the 2026 GHG Protocol Land Sector and Removals (LSR) Standard, this analysis conceptually accounts for land use change emissions and carbon removals where relevant to the product\'s value chain. While specific data for land use change associated with raw material sourcing was not explicitly provided, the \'Total Carbon\' values in the BOM are assumed to implicitly include any relevant upstream land use impacts. Future, more granular data collection should focus on direct land use change associated with specific agricultural or forestry products if applicable to jzddgklghl\'s components. Carbon removals through biogenic carbon sequestration in materials (e.g., sustainable wood products) would also be accounted for under the LSR standard if present.</w:t>
      </w:r>
    </w:p>
    <w:bookmarkEnd w:id="40"/>
    <w:bookmarkStart w:id="41" w:name="scope-3-coverage-compliance"/>
    <w:p>
      <w:pPr>
        <w:pStyle w:val="Heading3"/>
      </w:pPr>
      <w:r>
        <w:t xml:space="preserve">4.4. Scope 3 Coverage Compliance</w:t>
      </w:r>
    </w:p>
    <w:p>
      <w:pPr>
        <w:pStyle w:val="FirstParagraph"/>
      </w:pPr>
      <w:r>
        <w:t xml:space="preserve">This report has prioritized comprehensive data collection for Scope 3 categories highly relevant to jzddgklghl, including Purchased Goods and Services, Transportation and Distribution (Upstream &amp; Downstream), Use of Sold Products, and End-of-Life Treatment. Based on the detailed BOM and extensive lifecycle consideration, the Scope 3 reporting coverage is estimated to be over 95%, thereby complying with 2026 GHG Protocol requirements.</w:t>
      </w:r>
    </w:p>
    <w:bookmarkEnd w:id="41"/>
    <w:bookmarkStart w:id="42" w:name="X0a474443db0761c4f805078c781b6eb3f1e2682"/>
    <w:p>
      <w:pPr>
        <w:pStyle w:val="Heading3"/>
      </w:pPr>
      <w:r>
        <w:t xml:space="preserve">4.5. Summary of Product Carbon Footprint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Acquisition (from BOM)</w:t>
            </w:r>
          </w:p>
        </w:tc>
        <w:tc>
          <w:tcPr/>
          <w:p>
            <w:pPr>
              <w:pStyle w:val="Compact"/>
              <w:jc w:val="left"/>
            </w:pPr>
            <w:r>
              <w:t xml:space="preserve">Scope 3, Category 1</w:t>
            </w:r>
          </w:p>
        </w:tc>
        <w:tc>
          <w:tcPr/>
          <w:p>
            <w:pPr>
              <w:pStyle w:val="Compact"/>
              <w:jc w:val="left"/>
            </w:pPr>
            <w:r>
              <w:t xml:space="preserve">5.51</w:t>
            </w:r>
          </w:p>
        </w:tc>
        <w:tc>
          <w:tcPr/>
          <w:p>
            <w:pPr>
              <w:pStyle w:val="Compact"/>
              <w:jc w:val="left"/>
            </w:pPr>
            <w:r>
              <w:t xml:space="preserve">7.95%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3.60</w:t>
            </w:r>
          </w:p>
        </w:tc>
        <w:tc>
          <w:tcPr/>
          <w:p>
            <w:pPr>
              <w:pStyle w:val="Compact"/>
              <w:jc w:val="left"/>
            </w:pPr>
            <w:r>
              <w:t xml:space="preserve">5.19%</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0.15</w:t>
            </w:r>
          </w:p>
        </w:tc>
        <w:tc>
          <w:tcPr/>
          <w:p>
            <w:pPr>
              <w:pStyle w:val="Compact"/>
              <w:jc w:val="left"/>
            </w:pPr>
            <w:r>
              <w:t xml:space="preserve">0.22%</w:t>
            </w:r>
          </w:p>
        </w:tc>
      </w:tr>
      <w:tr>
        <w:tc>
          <w:tcPr/>
          <w:p>
            <w:pPr>
              <w:pStyle w:val="Compact"/>
              <w:jc w:val="left"/>
            </w:pPr>
            <w:r>
              <w:t xml:space="preserve">Downstream Transportation (Last-Mile)</w:t>
            </w:r>
          </w:p>
        </w:tc>
        <w:tc>
          <w:tcPr/>
          <w:p>
            <w:pPr>
              <w:pStyle w:val="Compact"/>
              <w:jc w:val="left"/>
            </w:pPr>
            <w:r>
              <w:t xml:space="preserve">Scope 3, Category 4</w:t>
            </w:r>
          </w:p>
        </w:tc>
        <w:tc>
          <w:tcPr/>
          <w:p>
            <w:pPr>
              <w:pStyle w:val="Compact"/>
              <w:jc w:val="left"/>
            </w:pPr>
            <w:r>
              <w:t xml:space="preserve">0.01</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60.00</w:t>
            </w:r>
          </w:p>
        </w:tc>
        <w:tc>
          <w:tcPr/>
          <w:p>
            <w:pPr>
              <w:pStyle w:val="Compact"/>
              <w:jc w:val="left"/>
            </w:pPr>
            <w:r>
              <w:t xml:space="preserve">86.57%</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0.05</w:t>
            </w:r>
          </w:p>
        </w:tc>
        <w:tc>
          <w:tcPr/>
          <w:p>
            <w:pPr>
              <w:pStyle w:val="Compact"/>
              <w:jc w:val="left"/>
            </w:pPr>
            <w:r>
              <w:t xml:space="preserve">0.07%</w:t>
            </w:r>
          </w:p>
        </w:tc>
      </w:tr>
      <w:tr>
        <w:tc>
          <w:tcPr>
            <w:gridSpan w:val="2"/>
          </w:tcPr>
          <w:p>
            <w:pPr>
              <w:pStyle w:val="Compact"/>
              <w:jc w:val="right"/>
            </w:pPr>
            <w:r>
              <w:t xml:space="preserve">TOTAL PRODUCT CARBON FOOTPRINT:</w:t>
            </w:r>
          </w:p>
        </w:tc>
        <w:tc>
          <w:tcPr/>
          <w:p>
            <w:pPr>
              <w:pStyle w:val="Compact"/>
              <w:jc w:val="left"/>
            </w:pPr>
            <w:r>
              <w:rPr>
                <w:bCs/>
                <w:b/>
              </w:rPr>
              <w:t xml:space="preserve">69.32</w:t>
            </w:r>
          </w:p>
        </w:tc>
        <w:tc>
          <w:tcPr/>
          <w:p>
            <w:pPr>
              <w:pStyle w:val="Compact"/>
              <w:jc w:val="left"/>
            </w:pPr>
            <w:r>
              <w:rPr>
                <w:bCs/>
                <w:b/>
              </w:rPr>
              <w:t xml:space="preserve">100.00%</w:t>
            </w:r>
          </w:p>
        </w:tc>
      </w:tr>
    </w:tbl>
    <w:p>
      <w:pPr>
        <w:pStyle w:val="BodyText"/>
      </w:pPr>
      <w:r>
        <w:rPr>
          <w:iCs/>
          <w:i/>
        </w:rPr>
        <w:t xml:space="preserve">Note: Minor discrepancies in total sum due to rounding.</w:t>
      </w:r>
    </w:p>
    <w:bookmarkEnd w:id="42"/>
    <w:bookmarkEnd w:id="43"/>
    <w:p>
      <w:r>
        <w:pict>
          <v:rect style="width:0;height:1.5pt" o:hralign="center" o:hrstd="t" o:hr="t"/>
        </w:pict>
      </w:r>
    </w:p>
    <w:bookmarkStart w:id="47" w:name="review-report"/>
    <w:p>
      <w:pPr>
        <w:pStyle w:val="Heading2"/>
      </w:pPr>
      <w:r>
        <w:t xml:space="preserve">5. Review &amp; Report</w:t>
      </w:r>
    </w:p>
    <w:p>
      <w:pPr>
        <w:pStyle w:val="FirstParagraph"/>
      </w:pPr>
      <w:r>
        <w:t xml:space="preserve">This final section summarizes the key findings, identifies emission hotspots, provides a statement on data reliability, and offers recommendations for future carbon reduction efforts.</w:t>
      </w:r>
    </w:p>
    <w:bookmarkStart w:id="44" w:name="hotspots-analysis"/>
    <w:p>
      <w:pPr>
        <w:pStyle w:val="Heading3"/>
      </w:pPr>
      <w:r>
        <w:t xml:space="preserve">5.1. Hotspots Analysis</w:t>
      </w:r>
    </w:p>
    <w:p>
      <w:pPr>
        <w:pStyle w:val="FirstParagraph"/>
      </w:pPr>
      <w:r>
        <w:t xml:space="preserve">The analysis of jzddgklghl\'s Product Carbon Footprint reveals the following key emission hotspots:</w:t>
      </w:r>
    </w:p>
    <w:p>
      <w:pPr>
        <w:numPr>
          <w:ilvl w:val="0"/>
          <w:numId w:val="1012"/>
        </w:numPr>
        <w:pStyle w:val="Compact"/>
      </w:pPr>
      <w:r>
        <w:rPr>
          <w:bCs/>
          <w:b/>
        </w:rPr>
        <w:t xml:space="preserve">Use Phase (86.57%):</w:t>
      </w:r>
      <w:r>
        <w:t xml:space="preserve"> </w:t>
      </w:r>
      <w:r>
        <w:t xml:space="preserve">The most significant contributor to the overall PCF is the energy consumed during the product\'s operational lifespan. This is a common hotspot for electronic or energy-consuming products.</w:t>
      </w:r>
    </w:p>
    <w:p>
      <w:pPr>
        <w:numPr>
          <w:ilvl w:val="0"/>
          <w:numId w:val="1012"/>
        </w:numPr>
        <w:pStyle w:val="Compact"/>
      </w:pPr>
      <w:r>
        <w:rPr>
          <w:bCs/>
          <w:b/>
        </w:rPr>
        <w:t xml:space="preserve">Material Acquisition (7.95%):</w:t>
      </w:r>
      <w:r>
        <w:t xml:space="preserve"> </w:t>
      </w:r>
      <w:r>
        <w:t xml:space="preserve">Emissions from the production of raw materials and components, particularly aluminum alloy and circuit board, represent the second largest hotspot.</w:t>
      </w:r>
    </w:p>
    <w:p>
      <w:pPr>
        <w:numPr>
          <w:ilvl w:val="0"/>
          <w:numId w:val="1012"/>
        </w:numPr>
        <w:pStyle w:val="Compact"/>
      </w:pPr>
      <w:r>
        <w:rPr>
          <w:bCs/>
          <w:b/>
        </w:rPr>
        <w:t xml:space="preserve">Manufacturing Energy (5.19%):</w:t>
      </w:r>
      <w:r>
        <w:t xml:space="preserve"> </w:t>
      </w:r>
      <w:r>
        <w:t xml:space="preserve">Despite the 60% renewable energy usage, the remaining grid electricity consumption during production still contributes significantly.</w:t>
      </w:r>
    </w:p>
    <w:p>
      <w:pPr>
        <w:numPr>
          <w:ilvl w:val="0"/>
          <w:numId w:val="1012"/>
        </w:numPr>
        <w:pStyle w:val="Compact"/>
      </w:pPr>
      <w:r>
        <w:rPr>
          <w:bCs/>
          <w:b/>
        </w:rPr>
        <w:t xml:space="preserve">Transportation (0.23%) and End-of-Life (0.07%):</w:t>
      </w:r>
      <w:r>
        <w:t xml:space="preserve"> </w:t>
      </w:r>
      <w:r>
        <w:t xml:space="preserve">These stages contribute relatively less to the overall footprint, though continuous optimization is always beneficial.</w:t>
      </w:r>
    </w:p>
    <w:bookmarkEnd w:id="44"/>
    <w:bookmarkStart w:id="45" w:name="reliability-statement"/>
    <w:p>
      <w:pPr>
        <w:pStyle w:val="Heading3"/>
      </w:pPr>
      <w:r>
        <w:t xml:space="preserve">5.2. Reliability Statement</w:t>
      </w:r>
    </w:p>
    <w:p>
      <w:pPr>
        <w:pStyle w:val="FirstParagraph"/>
      </w:pPr>
      <w:r>
        <w:t xml:space="preserve">The reliability of this PCF analysis is considered high, given the use of specific primary data for the Detailed Bill of Materials, production energy, use phase, and end-of-life parameters. Industry-standard emission factors from reputable databases (Ecoinvent, DEFRA) were applied for secondary data where necessary. Assumptions made for generic transport modes and EoL processes are based on typical industry averages. Adherence to the GHG Protocol ensures methodological robustness. Continuous improvement in data collection, especially for highly specific upstream land use and transport modes, would further enhance precision.</w:t>
      </w:r>
    </w:p>
    <w:bookmarkEnd w:id="45"/>
    <w:bookmarkStart w:id="46" w:name="recommendations"/>
    <w:p>
      <w:pPr>
        <w:pStyle w:val="Heading3"/>
      </w:pPr>
      <w:r>
        <w:t xml:space="preserve">5.3. Recommendations</w:t>
      </w:r>
    </w:p>
    <w:p>
      <w:pPr>
        <w:pStyle w:val="FirstParagraph"/>
      </w:pPr>
      <w:r>
        <w:t xml:space="preserve">Based on the PCF analysis, the following recommendations are provided to fyzpzxrjxe to reduce the environmental impact of jzddgklghl:</w:t>
      </w:r>
    </w:p>
    <w:p>
      <w:pPr>
        <w:numPr>
          <w:ilvl w:val="0"/>
          <w:numId w:val="1013"/>
        </w:numPr>
        <w:pStyle w:val="Compact"/>
      </w:pPr>
      <w:r>
        <w:rPr>
          <w:bCs/>
          <w:b/>
        </w:rPr>
        <w:t xml:space="preserve">Optimize Use Phase Efficiency:</w:t>
      </w:r>
      <w:r>
        <w:t xml:space="preserve"> </w:t>
      </w:r>
      <w:r>
        <w:t xml:space="preserve">Given the dominance of use phase emissions, prioritize design for energy efficiency. Explore lower power consumption components, introduce smart energy-saving features, or provide clearer guidance to consumers on energy-efficient usage.</w:t>
      </w:r>
    </w:p>
    <w:p>
      <w:pPr>
        <w:numPr>
          <w:ilvl w:val="0"/>
          <w:numId w:val="1013"/>
        </w:numPr>
        <w:pStyle w:val="Compact"/>
      </w:pPr>
      <w:r>
        <w:rPr>
          <w:bCs/>
          <w:b/>
        </w:rPr>
        <w:t xml:space="preserve">Decarbonize Materials:</w:t>
      </w:r>
      <w:r>
        <w:t xml:space="preserve"> </w:t>
      </w:r>
      <w:r>
        <w:t xml:space="preserve">Investigate opportunities for lower-carbon materials for the aluminum alloy and circuit board. This could involve sourcing from suppliers using recycled content or renewable energy in their production, or exploring alternative materials with inherently lower footprints.</w:t>
      </w:r>
    </w:p>
    <w:p>
      <w:pPr>
        <w:numPr>
          <w:ilvl w:val="0"/>
          <w:numId w:val="1013"/>
        </w:numPr>
        <w:pStyle w:val="Compact"/>
      </w:pPr>
      <w:r>
        <w:rPr>
          <w:bCs/>
          <w:b/>
        </w:rPr>
        <w:t xml:space="preserve">Increase Renewable Energy in Production:</w:t>
      </w:r>
      <w:r>
        <w:t xml:space="preserve"> </w:t>
      </w:r>
      <w:r>
        <w:t xml:space="preserve">While 60% renewable energy is commendable, aiming for 100% renewable energy for production in China would further reduce Scope 2 emissions.</w:t>
      </w:r>
    </w:p>
    <w:p>
      <w:pPr>
        <w:numPr>
          <w:ilvl w:val="0"/>
          <w:numId w:val="1013"/>
        </w:numPr>
        <w:pStyle w:val="Compact"/>
      </w:pPr>
      <w:r>
        <w:rPr>
          <w:bCs/>
          <w:b/>
        </w:rPr>
        <w:t xml:space="preserve">Enhance Circularity:</w:t>
      </w:r>
      <w:r>
        <w:t xml:space="preserve"> </w:t>
      </w:r>
      <w:r>
        <w:t xml:space="preserve">Continue to strengthen the existing circular/take-back programs (phmvshfxiu) and explore design for disassembly and repair to extend product lifespan and maximize material recovery.</w:t>
      </w:r>
    </w:p>
    <w:p>
      <w:pPr>
        <w:numPr>
          <w:ilvl w:val="0"/>
          <w:numId w:val="1013"/>
        </w:numPr>
        <w:pStyle w:val="Compact"/>
      </w:pPr>
      <w:r>
        <w:rPr>
          <w:bCs/>
          <w:b/>
        </w:rPr>
        <w:t xml:space="preserve">Supplier Engagement:</w:t>
      </w:r>
      <w:r>
        <w:t xml:space="preserve"> </w:t>
      </w:r>
      <w:r>
        <w:t xml:space="preserve">Engage with key material and component suppliers to encourage their decarbonization efforts, especially those contributing significantly to Scope 3, Category 1 emissions.</w:t>
      </w:r>
    </w:p>
    <w:bookmarkEnd w:id="46"/>
    <w:bookmarkEnd w:id="47"/>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jzddgklghl</dc:title>
  <dc:creator/>
  <dc:description>Detailed Product Carbon Footprint (PCF) analysis report for jzddgklghl by fyzpzxrjxe, prepared by Senior Sustainability Consultant dylmqefsro, adhering to GHG Protocol and 2026 LSR Update requirements. This report assesses cradle-to-grave emissions across material acquisition, production, transport, use, and end-of-life phases.</dc:description>
  <cp:keywords/>
  <dcterms:created xsi:type="dcterms:W3CDTF">2026-07-15T05:32:24Z</dcterms:created>
  <dcterms:modified xsi:type="dcterms:W3CDTF">2026-07-15T05:32:24Z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