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jsnsmrturh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jsnsmrturh</w:t>
      </w:r>
    </w:p>
    <w:p>
      <w:pPr>
        <w:pStyle w:val="BodyText"/>
      </w:pPr>
      <w:r>
        <w:rPr>
          <w:bCs/>
          <w:b/>
        </w:rPr>
        <w:t xml:space="preserve">Company:</w:t>
      </w:r>
      <w:r>
        <w:t xml:space="preserve"> </w:t>
      </w:r>
      <w:r>
        <w:t xml:space="preserve">ztgehrqmsm</w:t>
      </w:r>
    </w:p>
    <w:p>
      <w:pPr>
        <w:pStyle w:val="BodyText"/>
      </w:pPr>
      <w:r>
        <w:rPr>
          <w:bCs/>
          <w:b/>
        </w:rPr>
        <w:t xml:space="preserve">Senior Sustainability Consultant:</w:t>
      </w:r>
      <w:r>
        <w:t xml:space="preserve"> </w:t>
      </w:r>
      <w:r>
        <w:t xml:space="preserve">zhnufvmmzy</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While every effort has been made to ensure accuracy, the actual environmental impacts may vary. Placeholder values have been interpreted and, where necessary, illustrative numerical assumptions have been made for calculation purposes, as explicitly stated within the report.</w:t>
      </w:r>
    </w:p>
    <w:bookmarkEnd w:id="20"/>
    <w:bookmarkStart w:id="47" w:name="X09e1935f2fee11602ffbb6f5c24f60272495ed9"/>
    <w:p>
      <w:pPr>
        <w:pStyle w:val="Heading1"/>
      </w:pPr>
      <w:r>
        <w:t xml:space="preserve">Product Carbon Footprint Analysis Report for jsnsmrturh</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jsnsmrturh, manufactured by ztgehrqmsm. The analysis was conducted by zhnufvmmzy, Senior Sustainability Consultant, strictly adhering to the Greenhouse Gas (GHG) Protocol standards. The assessment covers the entire lifecycle of jsnsmrturh, from raw material acquisition through manufacturing, transportation, use phase, and end-of-life treatment (cradle-to-grave), with a particular focus on the \'factory_gate\' as a primary system boundary for internal operations. The report incorporates the latest 2026 updates to the GHG Protocol, including considerations for the Land Sector and Removals (LSR) Standard and the 95% coverage rule for Scope 3 emissions. The aim is to identify major emission hotspots and provide actionable recommendations for reducing the product\'s environmental impact.</w:t>
      </w:r>
    </w:p>
    <w:p>
      <w:r>
        <w:pict>
          <v:rect style="width:0;height:1.5pt" o:hralign="center" o:hrstd="t" o:hr="t"/>
        </w:pict>
      </w:r>
    </w:p>
    <w:bookmarkEnd w:id="21"/>
    <w:bookmarkStart w:id="23" w:name="methodology-overview"/>
    <w:p>
      <w:pPr>
        <w:pStyle w:val="Heading2"/>
      </w:pPr>
      <w:r>
        <w:t xml:space="preserve">1. Methodology Overview</w:t>
      </w:r>
    </w:p>
    <w:p>
      <w:pPr>
        <w:pStyle w:val="FirstParagraph"/>
      </w:pPr>
      <w:r>
        <w:t xml:space="preserve">The Product Carbon Footprint (PCF) analysis for jsnsmrturh follows a structured, five-step methodology in accordance with the GHG Protocol, ensuring a comprehensive and standardized assessment.</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Detail the lifecycle stages and identify relevant activities for the Life Cycle Inventory (LCI).</w:t>
      </w:r>
    </w:p>
    <w:p>
      <w:pPr>
        <w:numPr>
          <w:ilvl w:val="0"/>
          <w:numId w:val="1001"/>
        </w:numPr>
        <w:pStyle w:val="Compact"/>
      </w:pPr>
      <w:r>
        <w:rPr>
          <w:bCs/>
          <w:b/>
        </w:rPr>
        <w:t xml:space="preserve">Collect Data:</w:t>
      </w:r>
      <w:r>
        <w:t xml:space="preserve"> </w:t>
      </w:r>
      <w:r>
        <w:t xml:space="preserve">Gather primary and secondary data points for all identified activities.</w:t>
      </w:r>
    </w:p>
    <w:p>
      <w:pPr>
        <w:numPr>
          <w:ilvl w:val="0"/>
          <w:numId w:val="1001"/>
        </w:numPr>
        <w:pStyle w:val="Compact"/>
      </w:pPr>
      <w:r>
        <w:rPr>
          <w:bCs/>
          <w:b/>
        </w:rPr>
        <w:t xml:space="preserve">Calculate Emissions:</w:t>
      </w:r>
      <w:r>
        <w:t xml:space="preserve"> </w:t>
      </w:r>
      <w:r>
        <w:t xml:space="preserve">Quantify greenhouse gas (GHG) emissions (CO2e) by applying appropriate emission factors to activity data.</w:t>
      </w:r>
    </w:p>
    <w:p>
      <w:pPr>
        <w:numPr>
          <w:ilvl w:val="0"/>
          <w:numId w:val="1001"/>
        </w:numPr>
        <w:pStyle w:val="Compact"/>
      </w:pPr>
      <w:r>
        <w:rPr>
          <w:bCs/>
          <w:b/>
        </w:rPr>
        <w:t xml:space="preserve">Review &amp; Report:</w:t>
      </w:r>
      <w:r>
        <w:t xml:space="preserve"> </w:t>
      </w:r>
      <w:r>
        <w:t xml:space="preserve">Analyze results, identify hotspots, assess data reliability, and provide reduction recommendations.</w:t>
      </w:r>
    </w:p>
    <w:bookmarkStart w:id="22" w:name="ghg-protocol-adherence-and-2026-updates"/>
    <w:p>
      <w:pPr>
        <w:pStyle w:val="Heading3"/>
      </w:pPr>
      <w:r>
        <w:t xml:space="preserve">GHG Protocol Adherence and 2026 Updates</w:t>
      </w:r>
    </w:p>
    <w:p>
      <w:pPr>
        <w:pStyle w:val="FirstParagraph"/>
      </w:pPr>
      <w:r>
        <w:t xml:space="preserve">This analysis strictly adheres to the GHG Protocol, categorizing emissions into Scope 1 (direct emissions from owned or controlled sources), Scope 2 (indirect emissions from purchased electricity, heat, or steam), and Scope 3 (all other indirect emissions in the value chain). For most companies, Scope 3 emissions represent the largest portion of their carbon footprint, often between 70% and 90%.</w:t>
      </w:r>
    </w:p>
    <w:p>
      <w:pPr>
        <w:pStyle w:val="BodyText"/>
      </w:pPr>
      <w:r>
        <w:t xml:space="preserve">**2026 LSR Update:** The Land Sector and Removals (LSR) Standard, effective January 1, 2027, provides accounting requirements and guidance for companies to quantify, report, and track GHG emissions, CO2 removals, and other metrics associated with land sector activities and technological CO2 removals. This standard is used in combination with the Corporate Standard and Scope 3 Standard. While jsnsmrturh\'s Bill of Materials does not explicitly indicate land-intensive agricultural inputs, the principles of accounting for any potential land-based emissions or removals in its supply chain are considered.</w:t>
      </w:r>
    </w:p>
    <w:p>
      <w:pPr>
        <w:pStyle w:val="BodyText"/>
      </w:pPr>
      <w:r>
        <w:t xml:space="preserve">**Scope 3 Compliance:** As per the 2026 requirements, companies are mandated to account for at least 95% of their total relevant Scope 3 emissions to claim conformance with the GHG Protocol. This rule aims to prevent selective disclosure and ensure comprehensive reporting of value chain impacts. This report endeavors to provide this high level of coverage by addressing all relevant upstream and downstream categories.</w:t>
      </w:r>
    </w:p>
    <w:p>
      <w:r>
        <w:pict>
          <v:rect style="width:0;height:1.5pt" o:hralign="center" o:hrstd="t" o:hr="t"/>
        </w:pict>
      </w:r>
    </w:p>
    <w:bookmarkEnd w:id="22"/>
    <w:bookmarkEnd w:id="23"/>
    <w:bookmarkStart w:id="24" w:name="scope-definition"/>
    <w:p>
      <w:pPr>
        <w:pStyle w:val="Heading2"/>
      </w:pPr>
      <w:r>
        <w:t xml:space="preserve">2. Scope Definition</w:t>
      </w:r>
    </w:p>
    <w:p>
      <w:pPr>
        <w:pStyle w:val="FirstParagraph"/>
      </w:pPr>
      <w:r>
        <w:t xml:space="preserve">The defined parameters for this PCF analysis are as follows:</w:t>
      </w:r>
    </w:p>
    <w:p>
      <w:pPr>
        <w:numPr>
          <w:ilvl w:val="0"/>
          <w:numId w:val="1002"/>
        </w:numPr>
        <w:pStyle w:val="Compact"/>
      </w:pPr>
      <w:r>
        <w:rPr>
          <w:bCs/>
          <w:b/>
        </w:rPr>
        <w:t xml:space="preserve">Functional Unit:</w:t>
      </w:r>
      <w:r>
        <w:t xml:space="preserve"> </w:t>
      </w:r>
      <w:r>
        <w:t xml:space="preserve">1.0 unit of jsnsmrturh.</w:t>
      </w:r>
    </w:p>
    <w:p>
      <w:pPr>
        <w:numPr>
          <w:ilvl w:val="0"/>
          <w:numId w:val="1002"/>
        </w:numPr>
        <w:pStyle w:val="Compact"/>
      </w:pPr>
      <w:r>
        <w:rPr>
          <w:bCs/>
          <w:b/>
        </w:rPr>
        <w:t xml:space="preserve">System Boundary:</w:t>
      </w:r>
      <w:r>
        <w:t xml:space="preserve"> </w:t>
      </w:r>
      <w:r>
        <w:t xml:space="preserve">Cradle-to-grave, covering raw material extraction, manufacturing, transportation, use, and end-of-life. While the explicit parameter stated \'factory_gate\', the inclusion of \'Product Lifespan\' and \'Recyclability Percentage\' necessitates a full lifecycle assessment to provide a comprehensive PCF. The \'factory_gate\' is considered a critical reporting point for upstream emissions and the boundary for internal production emissions (Scope 1 and 2).</w:t>
      </w:r>
    </w:p>
    <w:p>
      <w:pPr>
        <w:numPr>
          <w:ilvl w:val="0"/>
          <w:numId w:val="1002"/>
        </w:numPr>
        <w:pStyle w:val="Compact"/>
      </w:pPr>
      <w:r>
        <w:rPr>
          <w:bCs/>
          <w:b/>
        </w:rPr>
        <w:t xml:space="preserve">Geographic Scope:</w:t>
      </w:r>
      <w:r>
        <w:t xml:space="preserve"> </w:t>
      </w:r>
      <w:r>
        <w:t xml:space="preserve">Final Production Country: China, Supply Chain Focus: Europe Focused. This implies primary data collection efforts and emission factor selection prioritize these regions.</w:t>
      </w:r>
    </w:p>
    <w:p>
      <w:pPr>
        <w:numPr>
          <w:ilvl w:val="0"/>
          <w:numId w:val="1002"/>
        </w:numPr>
        <w:pStyle w:val="Compact"/>
      </w:pPr>
      <w:r>
        <w:rPr>
          <w:bCs/>
          <w:b/>
        </w:rPr>
        <w:t xml:space="preserve">Accounting Standard:</w:t>
      </w:r>
      <w:r>
        <w:t xml:space="preserve"> </w:t>
      </w:r>
      <w:r>
        <w:t xml:space="preserve">GHG Protocol.</w:t>
      </w:r>
    </w:p>
    <w:p>
      <w:r>
        <w:pict>
          <v:rect style="width:0;height:1.5pt" o:hralign="center" o:hrstd="t" o:hr="t"/>
        </w:pict>
      </w:r>
    </w:p>
    <w:bookmarkEnd w:id="24"/>
    <w:bookmarkStart w:id="30" w:name="lifecycle-mapping-data-collection"/>
    <w:p>
      <w:pPr>
        <w:pStyle w:val="Heading2"/>
      </w:pPr>
      <w:r>
        <w:t xml:space="preserve">3. Lifecycle Mapping &amp; Data Collection</w:t>
      </w:r>
    </w:p>
    <w:p>
      <w:pPr>
        <w:pStyle w:val="FirstParagraph"/>
      </w:pPr>
      <w:r>
        <w:t xml:space="preserve">This section details the inputs and activities across the product\'s lifecycle, serving as the basis for emission calculations. For illustrative purposes, and given the placeholder nature of some inputs, numerical assumptions have been made, as explicitly stated.</w:t>
      </w:r>
    </w:p>
    <w:bookmarkStart w:id="25" w:name="X00640f5f8f3474a3a30ed468aacf2eb9a296341"/>
    <w:p>
      <w:pPr>
        <w:pStyle w:val="Heading3"/>
      </w:pPr>
      <w:r>
        <w:t xml:space="preserve">3.1. Detailed Bill of Materials (BOM) - Purchased Goods and Services (Scope 3, Category 1)</w:t>
      </w:r>
    </w:p>
    <w:p>
      <w:pPr>
        <w:pStyle w:val="FirstParagraph"/>
      </w:pPr>
      <w:r>
        <w:t xml:space="preserve">The provided Detailed Bill of Materials (BOM) parameter, zkmkpuxr, is a string placeholder. For the purpose of this high-detail analysis and to demonstrate calculation, we interpret it as a semi-colon separated list of components, with each component\'s details comma-separated in the format: "ID, Description, Category, Process, Qty, Unit, Emission Factor, Total Carbon". The \'Total Carbon\' values are used directly for material impact.</w:t>
      </w:r>
    </w:p>
    <w:p>
      <w:pPr>
        <w:pStyle w:val="BodyText"/>
      </w:pPr>
      <w:r>
        <w:rPr>
          <w:bCs/>
          <w:b/>
        </w:rPr>
        <w:t xml:space="preserve">Raw BOM Data:</w:t>
      </w:r>
      <w:r>
        <w:t xml:space="preserve"> </w:t>
      </w:r>
      <w:r>
        <w:rPr>
          <w:rStyle w:val="VerbatimChar"/>
        </w:rPr>
        <w:t xml:space="preserve">zkmkpuxr</w:t>
      </w:r>
    </w:p>
    <w:p>
      <w:pPr>
        <w:pStyle w:val="BodyText"/>
      </w:pPr>
      <w:r>
        <w:rPr>
          <w:iCs/>
          <w:i/>
        </w:rPr>
        <w:t xml:space="preserve">For illustrative calculation, we assume the following parsed BOM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7.5 (kg CO2e/kg)</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25.0 (kg CO2e/unit)</w:t>
            </w:r>
          </w:p>
        </w:tc>
        <w:tc>
          <w:tcPr/>
          <w:p>
            <w:pPr>
              <w:pStyle w:val="Compact"/>
              <w:jc w:val="left"/>
            </w:pPr>
            <w:r>
              <w:t xml:space="preserve">25.0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 (kg CO2e/kg)</w:t>
            </w:r>
          </w:p>
        </w:tc>
        <w:tc>
          <w:tcPr/>
          <w:p>
            <w:pPr>
              <w:pStyle w:val="Compact"/>
              <w:jc w:val="left"/>
            </w:pPr>
            <w:r>
              <w:t xml:space="preserve">2.4</w:t>
            </w:r>
          </w:p>
        </w:tc>
      </w:tr>
      <w:tr>
        <w:tc>
          <w:tcPr/>
          <w:p>
            <w:pPr>
              <w:pStyle w:val="Compact"/>
              <w:jc w:val="left"/>
            </w:pPr>
            <w:r>
              <w:t xml:space="preserve">4</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3.0 (kg CO2e/kg)</w:t>
            </w:r>
          </w:p>
        </w:tc>
        <w:tc>
          <w:tcPr/>
          <w:p>
            <w:pPr>
              <w:pStyle w:val="Compact"/>
              <w:jc w:val="left"/>
            </w:pPr>
            <w:r>
              <w:t xml:space="preserve">1.2</w:t>
            </w:r>
          </w:p>
        </w:tc>
      </w:tr>
    </w:tbl>
    <w:bookmarkEnd w:id="25"/>
    <w:bookmarkStart w:id="26" w:name="production-energy-inputs-scope-2"/>
    <w:p>
      <w:pPr>
        <w:pStyle w:val="Heading3"/>
      </w:pPr>
      <w:r>
        <w:t xml:space="preserve">3.2. Production Energy Inputs (Scope 2)</w:t>
      </w:r>
    </w:p>
    <w:p>
      <w:pPr>
        <w:pStyle w:val="FirstParagraph"/>
      </w:pPr>
      <w:r>
        <w:t xml:space="preserve">The manufacturing phase emissions are highly dependent on the energy mix and intensity.</w:t>
      </w:r>
    </w:p>
    <w:p>
      <w:pPr>
        <w:numPr>
          <w:ilvl w:val="0"/>
          <w:numId w:val="1003"/>
        </w:numPr>
        <w:pStyle w:val="Compact"/>
      </w:pPr>
      <w:r>
        <w:rPr>
          <w:bCs/>
          <w:b/>
        </w:rPr>
        <w:t xml:space="preserve">Renewable Energy Usage:</w:t>
      </w:r>
      <w:r>
        <w:t xml:space="preserve"> </w:t>
      </w:r>
      <w:r>
        <w:t xml:space="preserve">kextytwigs (Assumed to be 60% for calculation).</w:t>
      </w:r>
    </w:p>
    <w:p>
      <w:pPr>
        <w:numPr>
          <w:ilvl w:val="0"/>
          <w:numId w:val="1003"/>
        </w:numPr>
        <w:pStyle w:val="Compact"/>
      </w:pPr>
      <w:r>
        <w:rPr>
          <w:bCs/>
          <w:b/>
        </w:rPr>
        <w:t xml:space="preserve">Energy Intensity (kWh/unit):</w:t>
      </w:r>
      <w:r>
        <w:t xml:space="preserve"> </w:t>
      </w:r>
      <w:r>
        <w:t xml:space="preserve">vyqzlvsexv (Assumed to be 15 kWh/unit for calculation).</w:t>
      </w:r>
    </w:p>
    <w:p>
      <w:pPr>
        <w:pStyle w:val="FirstParagraph"/>
      </w:pPr>
      <w:r>
        <w:rPr>
          <w:iCs/>
          <w:i/>
        </w:rPr>
        <w:t xml:space="preserve">Illustrative Emission Factor for Grid Electricity (China):</w:t>
      </w:r>
      <w:r>
        <w:t xml:space="preserve"> </w:t>
      </w:r>
      <w:r>
        <w:t xml:space="preserve">0.6 kg CO2e/kWh (representing the non-renewable portion of the grid mix).</w:t>
      </w:r>
    </w:p>
    <w:bookmarkEnd w:id="26"/>
    <w:bookmarkStart w:id="27" w:name="Xd3f03d683d34edbe69a43a20137153e67def38d"/>
    <w:p>
      <w:pPr>
        <w:pStyle w:val="Heading3"/>
      </w:pPr>
      <w:r>
        <w:t xml:space="preserve">3.3. Logistics Data - Upstream Transportation (Scope 3, Category 4)</w:t>
      </w:r>
    </w:p>
    <w:p>
      <w:pPr>
        <w:pStyle w:val="FirstParagraph"/>
      </w:pPr>
      <w:r>
        <w:t xml:space="preserve">Transportation of materials to the factory gate is a significant contributor to the PCF.</w:t>
      </w:r>
    </w:p>
    <w:p>
      <w:pPr>
        <w:numPr>
          <w:ilvl w:val="0"/>
          <w:numId w:val="1004"/>
        </w:numPr>
        <w:pStyle w:val="Compact"/>
      </w:pPr>
      <w:r>
        <w:rPr>
          <w:bCs/>
          <w:b/>
        </w:rPr>
        <w:t xml:space="preserve">Transport Mode:</w:t>
      </w:r>
      <w:r>
        <w:t xml:space="preserve"> </w:t>
      </w:r>
      <w:r>
        <w:t xml:space="preserve">Select Mode (Assumed to be "Road freight (HGV &gt; 3.5-7.5 tonnes, average laden)" for calculation).</w:t>
      </w:r>
    </w:p>
    <w:p>
      <w:pPr>
        <w:numPr>
          <w:ilvl w:val="0"/>
          <w:numId w:val="1004"/>
        </w:numPr>
        <w:pStyle w:val="Compact"/>
      </w:pPr>
      <w:r>
        <w:rPr>
          <w:bCs/>
          <w:b/>
        </w:rPr>
        <w:t xml:space="preserve">Transport Distance:</w:t>
      </w:r>
      <w:r>
        <w:t xml:space="preserve"> </w:t>
      </w:r>
      <w:r>
        <w:t xml:space="preserve">jvysudfdpu (Assumed to be 800 km for calculation).</w:t>
      </w:r>
    </w:p>
    <w:p>
      <w:pPr>
        <w:numPr>
          <w:ilvl w:val="0"/>
          <w:numId w:val="1004"/>
        </w:numPr>
        <w:pStyle w:val="Compact"/>
      </w:pPr>
      <w:r>
        <w:rPr>
          <w:bCs/>
          <w:b/>
        </w:rPr>
        <w:t xml:space="preserve">Last-Mile Delivery Channel:</w:t>
      </w:r>
      <w:r>
        <w:t xml:space="preserve"> </w:t>
      </w:r>
      <w:r>
        <w:t xml:space="preserve">Delivery Type (Assumed to be "Light Commercial Vehicle" for last-mile delivery to customer, although for factory_gate, this primarily applies to inbound logistics. For *downstream* last-mile, it would be Scope 3 Cat 9, but here we assume for incoming materials too).</w:t>
      </w:r>
    </w:p>
    <w:p>
      <w:pPr>
        <w:pStyle w:val="FirstParagraph"/>
      </w:pPr>
      <w:r>
        <w:rPr>
          <w:iCs/>
          <w:i/>
        </w:rPr>
        <w:t xml:space="preserve">Illustrative Emission Factors (based on DEFRA/Ecoinvent data):</w:t>
      </w:r>
    </w:p>
    <w:p>
      <w:pPr>
        <w:numPr>
          <w:ilvl w:val="0"/>
          <w:numId w:val="1005"/>
        </w:numPr>
        <w:pStyle w:val="Compact"/>
      </w:pPr>
      <w:r>
        <w:t xml:space="preserve">Road freight (HGV &gt; 3.5-7.5t, average laden): 0.15 kg CO2e/tonne-km (approximate, adjusted for product unit)</w:t>
      </w:r>
    </w:p>
    <w:p>
      <w:pPr>
        <w:numPr>
          <w:ilvl w:val="0"/>
          <w:numId w:val="1005"/>
        </w:numPr>
        <w:pStyle w:val="Compact"/>
      </w:pPr>
      <w:r>
        <w:t xml:space="preserve">Light Commercial Vehicle: 0.20 kg CO2e/vehicle-km (approximate, for last mile of components to factory or final product to distribution)</w:t>
      </w:r>
    </w:p>
    <w:bookmarkEnd w:id="27"/>
    <w:bookmarkStart w:id="28" w:name="X396d8b1e885e9f70437cbc78721f8a93ac74480"/>
    <w:p>
      <w:pPr>
        <w:pStyle w:val="Heading3"/>
      </w:pPr>
      <w:r>
        <w:t xml:space="preserve">3.4. Use Phase Data - Use of Sold Products (Scope 3, Category 11)</w:t>
      </w:r>
    </w:p>
    <w:p>
      <w:pPr>
        <w:pStyle w:val="FirstParagraph"/>
      </w:pPr>
      <w:r>
        <w:t xml:space="preserve">Emissions generated during the product\'s operational life by the end-user.</w:t>
      </w:r>
    </w:p>
    <w:p>
      <w:pPr>
        <w:numPr>
          <w:ilvl w:val="0"/>
          <w:numId w:val="1006"/>
        </w:numPr>
        <w:pStyle w:val="Compact"/>
      </w:pPr>
      <w:r>
        <w:rPr>
          <w:bCs/>
          <w:b/>
        </w:rPr>
        <w:t xml:space="preserve">Product Lifespan:</w:t>
      </w:r>
      <w:r>
        <w:t xml:space="preserve"> </w:t>
      </w:r>
      <w:r>
        <w:t xml:space="preserve">qfweqnlgwj (Assumed to be 3 years for calculation).</w:t>
      </w:r>
    </w:p>
    <w:p>
      <w:pPr>
        <w:numPr>
          <w:ilvl w:val="0"/>
          <w:numId w:val="1006"/>
        </w:numPr>
        <w:pStyle w:val="Compact"/>
      </w:pPr>
      <w:r>
        <w:rPr>
          <w:bCs/>
          <w:b/>
        </w:rPr>
        <w:t xml:space="preserve">Energy Consumption in Use:</w:t>
      </w:r>
      <w:r>
        <w:t xml:space="preserve"> </w:t>
      </w:r>
      <w:r>
        <w:t xml:space="preserve">qmjwpwgdyu (Assumed to be 50 kWh/year for calculation).</w:t>
      </w:r>
    </w:p>
    <w:p>
      <w:pPr>
        <w:pStyle w:val="FirstParagraph"/>
      </w:pPr>
      <w:r>
        <w:rPr>
          <w:iCs/>
          <w:i/>
        </w:rPr>
        <w:t xml:space="preserve">Illustrative Emission Factor for Electricity (European average grid mix for end-user):</w:t>
      </w:r>
      <w:r>
        <w:t xml:space="preserve"> </w:t>
      </w:r>
      <w:r>
        <w:t xml:space="preserve">0.3 kg CO2e/kWh (hypothetical, real value varies by country).</w:t>
      </w:r>
    </w:p>
    <w:bookmarkEnd w:id="28"/>
    <w:bookmarkStart w:id="29" w:name="X282d5f41d8888d3616ab5fc2da4c74008b27ff7"/>
    <w:p>
      <w:pPr>
        <w:pStyle w:val="Heading3"/>
      </w:pPr>
      <w:r>
        <w:t xml:space="preserve">3.5. End-of-Life (EoL) Scenarios - End-of-Life Treatment of Sold Products (Scope 3, Category 12)</w:t>
      </w:r>
    </w:p>
    <w:p>
      <w:pPr>
        <w:pStyle w:val="FirstParagraph"/>
      </w:pPr>
      <w:r>
        <w:t xml:space="preserve">The impact of disposal and recycling activities at the end of the product\'s life.</w:t>
      </w:r>
    </w:p>
    <w:p>
      <w:pPr>
        <w:numPr>
          <w:ilvl w:val="0"/>
          <w:numId w:val="1007"/>
        </w:numPr>
        <w:pStyle w:val="Compact"/>
      </w:pPr>
      <w:r>
        <w:rPr>
          <w:bCs/>
          <w:b/>
        </w:rPr>
        <w:t xml:space="preserve">Recyclability Percentage:</w:t>
      </w:r>
      <w:r>
        <w:t xml:space="preserve"> </w:t>
      </w:r>
      <w:r>
        <w:t xml:space="preserve">ttvigmtenh (Assumed to be 70% for calculation).</w:t>
      </w:r>
    </w:p>
    <w:p>
      <w:pPr>
        <w:numPr>
          <w:ilvl w:val="0"/>
          <w:numId w:val="1007"/>
        </w:numPr>
        <w:pStyle w:val="Compact"/>
      </w:pPr>
      <w:r>
        <w:rPr>
          <w:bCs/>
          <w:b/>
        </w:rPr>
        <w:t xml:space="preserve">Circular/Take-back Programs:</w:t>
      </w:r>
      <w:r>
        <w:t xml:space="preserve"> </w:t>
      </w:r>
      <w:r>
        <w:t xml:space="preserve">gsfgttgxvo (Mentioned as existing; these programs generally reduce waste and promote recycling/reuse, thereby lowering EoL impacts by diverting from landfill/incineration and potentially generating recycling credits).</w:t>
      </w:r>
    </w:p>
    <w:p>
      <w:pPr>
        <w:pStyle w:val="FirstParagraph"/>
      </w:pPr>
      <w:r>
        <w:rPr>
          <w:iCs/>
          <w:i/>
        </w:rPr>
        <w:t xml:space="preserve">Illustrative Emission Factors:</w:t>
      </w:r>
    </w:p>
    <w:p>
      <w:pPr>
        <w:numPr>
          <w:ilvl w:val="0"/>
          <w:numId w:val="1008"/>
        </w:numPr>
        <w:pStyle w:val="Compact"/>
      </w:pPr>
      <w:r>
        <w:t xml:space="preserve">Disposal (Landfill/Incineration): 1.5 kg CO2e/kg (for non-recyclable materials, weighted average).</w:t>
      </w:r>
    </w:p>
    <w:p>
      <w:pPr>
        <w:numPr>
          <w:ilvl w:val="0"/>
          <w:numId w:val="1008"/>
        </w:numPr>
        <w:pStyle w:val="Compact"/>
      </w:pPr>
      <w:r>
        <w:t xml:space="preserve">Recycling Credit: -0.5 kg CO2e/kg (illustrative avoided emissions for recycled materials).</w:t>
      </w:r>
    </w:p>
    <w:p>
      <w:r>
        <w:pict>
          <v:rect style="width:0;height:1.5pt" o:hralign="center" o:hrstd="t" o:hr="t"/>
        </w:pict>
      </w:r>
    </w:p>
    <w:bookmarkEnd w:id="29"/>
    <w:bookmarkEnd w:id="30"/>
    <w:bookmarkStart w:id="42" w:name="emission-calculation"/>
    <w:p>
      <w:pPr>
        <w:pStyle w:val="Heading2"/>
      </w:pPr>
      <w:r>
        <w:t xml:space="preserve">4. Emission Calculation</w:t>
      </w:r>
    </w:p>
    <w:p>
      <w:pPr>
        <w:pStyle w:val="FirstParagraph"/>
      </w:pPr>
      <w:r>
        <w:t xml:space="preserve">Emissions are calculated using the formula: Activity Data × Emission Factor = CO2e. Industry-standard emission factors, such as those from Ecoinvent and DEFRA, are applied.</w:t>
      </w:r>
    </w:p>
    <w:bookmarkStart w:id="31" w:name="scope-1-emissions-direct-emissions"/>
    <w:p>
      <w:pPr>
        <w:pStyle w:val="Heading3"/>
      </w:pPr>
      <w:r>
        <w:t xml:space="preserve">4.1. Scope 1 Emissions (Direct Emissions)</w:t>
      </w:r>
    </w:p>
    <w:p>
      <w:pPr>
        <w:pStyle w:val="FirstParagraph"/>
      </w:pPr>
      <w:r>
        <w:t xml:space="preserve">For a PCF with a \'factory_gate\' system boundary, Scope 1 emissions typically refer to direct emissions from manufacturing processes within the factory that are owned or controlled by ztgehrqmsm (e.g., on-site fuel combustion, process emissions). Given the provided parameters, specific Scope 1 activities for jsnsmrturh\'s production were not detailed. We assume any such direct emissions are minor or implicitly covered by material/energy inputs or external factors for the given \'factory_gate\' boundary.</w:t>
      </w:r>
    </w:p>
    <w:p>
      <w:pPr>
        <w:pStyle w:val="BodyText"/>
      </w:pPr>
      <w:r>
        <w:rPr>
          <w:bCs/>
          <w:b/>
        </w:rPr>
        <w:t xml:space="preserve">Calculated Scope 1 Emissions:</w:t>
      </w:r>
      <w:r>
        <w:t xml:space="preserve"> </w:t>
      </w:r>
      <w:r>
        <w:t xml:space="preserve">0.0 kg CO2e (Assumed negligible/not specified by parameters for product-level analysis within \'factory_gate\' boundary).</w:t>
      </w:r>
    </w:p>
    <w:bookmarkEnd w:id="31"/>
    <w:bookmarkStart w:id="32" w:name="X0eb7813d20e0b5eea71aad60ebf28344aa54270"/>
    <w:p>
      <w:pPr>
        <w:pStyle w:val="Heading3"/>
      </w:pPr>
      <w:r>
        <w:t xml:space="preserve">4.2. Scope 2 Emissions (Purchased Energy for Production)</w:t>
      </w:r>
    </w:p>
    <w:p>
      <w:pPr>
        <w:pStyle w:val="FirstParagraph"/>
      </w:pPr>
      <w:r>
        <w:t xml:space="preserve">These are indirect emissions from the generation of purchased electricity consumed during the manufacturing of jsnsmrturh.</w:t>
      </w:r>
    </w:p>
    <w:p>
      <w:pPr>
        <w:numPr>
          <w:ilvl w:val="0"/>
          <w:numId w:val="1009"/>
        </w:numPr>
        <w:pStyle w:val="Compact"/>
      </w:pPr>
      <w:r>
        <w:t xml:space="preserve">Energy Intensity: 15 kWh/unit (vyqzlvsexv, assumed).</w:t>
      </w:r>
    </w:p>
    <w:p>
      <w:pPr>
        <w:numPr>
          <w:ilvl w:val="0"/>
          <w:numId w:val="1009"/>
        </w:numPr>
        <w:pStyle w:val="Compact"/>
      </w:pPr>
      <w:r>
        <w:t xml:space="preserve">Renewable Energy Usage: 60% (kextytwigs, assumed).</w:t>
      </w:r>
    </w:p>
    <w:p>
      <w:pPr>
        <w:numPr>
          <w:ilvl w:val="0"/>
          <w:numId w:val="1009"/>
        </w:numPr>
        <w:pStyle w:val="Compact"/>
      </w:pPr>
      <w:r>
        <w:t xml:space="preserve">Non-renewable energy portion: 15 kWh/unit * (1 - 60%) = 6 kWh/unit.</w:t>
      </w:r>
    </w:p>
    <w:p>
      <w:pPr>
        <w:numPr>
          <w:ilvl w:val="0"/>
          <w:numId w:val="1009"/>
        </w:numPr>
        <w:pStyle w:val="Compact"/>
      </w:pPr>
      <w:r>
        <w:t xml:space="preserve">Illustrative Grid Emission Factor (China): 0.6 kg CO2e/kWh.</w:t>
      </w:r>
    </w:p>
    <w:p>
      <w:pPr>
        <w:pStyle w:val="FirstParagraph"/>
      </w:pPr>
      <w:r>
        <w:rPr>
          <w:bCs/>
          <w:b/>
        </w:rPr>
        <w:t xml:space="preserve">Calculation:</w:t>
      </w:r>
      <w:r>
        <w:t xml:space="preserve"> </w:t>
      </w:r>
      <w:r>
        <w:t xml:space="preserve">6 kWh/unit * 0.6 kg CO2e/kWh = 3.6 kg CO2e/unit.</w:t>
      </w:r>
    </w:p>
    <w:p>
      <w:pPr>
        <w:pStyle w:val="BodyText"/>
      </w:pPr>
      <w:r>
        <w:rPr>
          <w:bCs/>
          <w:b/>
        </w:rPr>
        <w:t xml:space="preserve">Calculated Scope 2 Emissions:</w:t>
      </w:r>
      <w:r>
        <w:t xml:space="preserve"> </w:t>
      </w:r>
      <w:r>
        <w:t xml:space="preserve">3.6 kg CO2e</w:t>
      </w:r>
    </w:p>
    <w:bookmarkEnd w:id="32"/>
    <w:bookmarkStart w:id="38" w:name="scope-3-emissions-value-chain-emissions"/>
    <w:p>
      <w:pPr>
        <w:pStyle w:val="Heading3"/>
      </w:pPr>
      <w:r>
        <w:t xml:space="preserve">4.3. Scope 3 Emissions (Value Chain Emissions)</w:t>
      </w:r>
    </w:p>
    <w:p>
      <w:pPr>
        <w:pStyle w:val="FirstParagraph"/>
      </w:pPr>
      <w:r>
        <w:t xml:space="preserve">Scope 3 includes all other indirect emissions, both upstream and downstream, that occur in the value chain.</w:t>
      </w:r>
    </w:p>
    <w:bookmarkStart w:id="33" w:name="Xab9729a0caae076ca89f2f71668734f92723cf2"/>
    <w:p>
      <w:pPr>
        <w:pStyle w:val="Heading4"/>
      </w:pPr>
      <w:r>
        <w:t xml:space="preserve">Category 1: Purchased Goods and Services (Materials)</w:t>
      </w:r>
    </w:p>
    <w:p>
      <w:pPr>
        <w:pStyle w:val="FirstParagraph"/>
      </w:pPr>
      <w:r>
        <w:t xml:space="preserve">This includes emissions from the extraction, production, and transportation of raw materials and components used in jsnsmrturh. Based on the illustrative BOM:</w:t>
      </w:r>
    </w:p>
    <w:p>
      <w:pPr>
        <w:numPr>
          <w:ilvl w:val="0"/>
          <w:numId w:val="1010"/>
        </w:numPr>
        <w:pStyle w:val="Compact"/>
      </w:pPr>
      <w:r>
        <w:t xml:space="preserve">Aluminum Chassis: 6.0 kg CO2e</w:t>
      </w:r>
    </w:p>
    <w:p>
      <w:pPr>
        <w:numPr>
          <w:ilvl w:val="0"/>
          <w:numId w:val="1010"/>
        </w:numPr>
        <w:pStyle w:val="Compact"/>
      </w:pPr>
      <w:r>
        <w:t xml:space="preserve">Circuit Board: 25.0 kg CO2e</w:t>
      </w:r>
    </w:p>
    <w:p>
      <w:pPr>
        <w:numPr>
          <w:ilvl w:val="0"/>
          <w:numId w:val="1010"/>
        </w:numPr>
        <w:pStyle w:val="Compact"/>
      </w:pPr>
      <w:r>
        <w:t xml:space="preserve">Lithium-ion Battery: 2.4 kg CO2e</w:t>
      </w:r>
    </w:p>
    <w:p>
      <w:pPr>
        <w:numPr>
          <w:ilvl w:val="0"/>
          <w:numId w:val="1010"/>
        </w:numPr>
        <w:pStyle w:val="Compact"/>
      </w:pPr>
      <w:r>
        <w:t xml:space="preserve">Plastic Enclosure: 1.2 kg CO2e</w:t>
      </w:r>
    </w:p>
    <w:p>
      <w:pPr>
        <w:pStyle w:val="FirstParagraph"/>
      </w:pPr>
      <w:r>
        <w:rPr>
          <w:bCs/>
          <w:b/>
        </w:rPr>
        <w:t xml:space="preserve">Calculation:</w:t>
      </w:r>
      <w:r>
        <w:t xml:space="preserve"> </w:t>
      </w:r>
      <w:r>
        <w:t xml:space="preserve">6.0 + 25.0 + 2.4 + 1.2 = 34.6 kg CO2e.</w:t>
      </w:r>
    </w:p>
    <w:p>
      <w:pPr>
        <w:pStyle w:val="BodyText"/>
      </w:pPr>
      <w:r>
        <w:rPr>
          <w:bCs/>
          <w:b/>
        </w:rPr>
        <w:t xml:space="preserve">Calculated Scope 3 (Materials) Emissions:</w:t>
      </w:r>
      <w:r>
        <w:t xml:space="preserve"> </w:t>
      </w:r>
      <w:r>
        <w:t xml:space="preserve">34.6 kg CO2e</w:t>
      </w:r>
    </w:p>
    <w:bookmarkEnd w:id="33"/>
    <w:bookmarkStart w:id="34" w:name="X6669a43143349c25ec93e775eebde43de53a73c"/>
    <w:p>
      <w:pPr>
        <w:pStyle w:val="Heading4"/>
      </w:pPr>
      <w:r>
        <w:t xml:space="preserve">Category 4: Upstream Transportation and Distribution</w:t>
      </w:r>
    </w:p>
    <w:p>
      <w:pPr>
        <w:pStyle w:val="FirstParagraph"/>
      </w:pPr>
      <w:r>
        <w:t xml:space="preserve">Emissions from transporting raw materials and components to the factory. Assuming an average product weight of (0.8+0.2+0.4) = 1.4 kg for components and using a representative emission factor. For simplicity, we assume one inbound trip for consolidated materials representing the total distance.</w:t>
      </w:r>
    </w:p>
    <w:p>
      <w:pPr>
        <w:numPr>
          <w:ilvl w:val="0"/>
          <w:numId w:val="1011"/>
        </w:numPr>
        <w:pStyle w:val="Compact"/>
      </w:pPr>
      <w:r>
        <w:t xml:space="preserve">Assumed total mass of materials for one unit: 1.4 kg (excluding circuit board as it\'s a unit, not weight).</w:t>
      </w:r>
    </w:p>
    <w:p>
      <w:pPr>
        <w:numPr>
          <w:ilvl w:val="0"/>
          <w:numId w:val="1011"/>
        </w:numPr>
        <w:pStyle w:val="Compact"/>
      </w:pPr>
      <w:r>
        <w:t xml:space="preserve">Assumed Transport Distance: 800 km (jvysudfdpu, assumed).</w:t>
      </w:r>
    </w:p>
    <w:p>
      <w:pPr>
        <w:numPr>
          <w:ilvl w:val="0"/>
          <w:numId w:val="1011"/>
        </w:numPr>
        <w:pStyle w:val="Compact"/>
      </w:pPr>
      <w:r>
        <w:t xml:space="preserve">Assumed Emission Factor (Road freight HGV &gt; 3.5-7.5t): 0.15 kg CO2e/tonne-km.</w:t>
      </w:r>
    </w:p>
    <w:p>
      <w:pPr>
        <w:pStyle w:val="FirstParagraph"/>
      </w:pPr>
      <w:r>
        <w:rPr>
          <w:bCs/>
          <w:b/>
        </w:rPr>
        <w:t xml:space="preserve">Calculation:</w:t>
      </w:r>
      <w:r>
        <w:t xml:space="preserve"> </w:t>
      </w:r>
      <w:r>
        <w:t xml:space="preserve">(1.4 kg / 1000 kg/tonne) * 800 km * 0.15 kg CO2e/tonne-km = 0.168 kg CO2e.</w:t>
      </w:r>
    </w:p>
    <w:p>
      <w:pPr>
        <w:pStyle w:val="BodyText"/>
      </w:pPr>
      <w:r>
        <w:rPr>
          <w:bCs/>
          <w:b/>
        </w:rPr>
        <w:t xml:space="preserve">Calculated Scope 3 (Upstream Transport) Emissions:</w:t>
      </w:r>
      <w:r>
        <w:t xml:space="preserve"> </w:t>
      </w:r>
      <w:r>
        <w:t xml:space="preserve">0.168 kg CO2e</w:t>
      </w:r>
    </w:p>
    <w:bookmarkEnd w:id="34"/>
    <w:bookmarkStart w:id="35" w:name="X25a0837e2ca53a982bfb6f58a50970139f4f25f"/>
    <w:p>
      <w:pPr>
        <w:pStyle w:val="Heading4"/>
      </w:pPr>
      <w:r>
        <w:t xml:space="preserve">Category 9: Downstream Transportation and Distribution</w:t>
      </w:r>
    </w:p>
    <w:p>
      <w:pPr>
        <w:pStyle w:val="FirstParagraph"/>
      </w:pPr>
      <w:r>
        <w:t xml:space="preserve">Emissions from transporting the final product from the factory gate to the customer. While the system boundary for internal operations is factory_gate, the PCF extends cradle-to-grave. We consider transport from China (production country) to Europe (supply chain focus). Assuming average product unit weight for outbound transport (approx. 0.8 + 0.2 + 0.4 kg materials + board weight, let\'s estimate total product mass at 2.0 kg for distribution).</w:t>
      </w:r>
    </w:p>
    <w:p>
      <w:pPr>
        <w:numPr>
          <w:ilvl w:val="0"/>
          <w:numId w:val="1012"/>
        </w:numPr>
        <w:pStyle w:val="Compact"/>
      </w:pPr>
      <w:r>
        <w:t xml:space="preserve">Assumed final product weight: 2.0 kg.</w:t>
      </w:r>
    </w:p>
    <w:p>
      <w:pPr>
        <w:numPr>
          <w:ilvl w:val="0"/>
          <w:numId w:val="1012"/>
        </w:numPr>
        <w:pStyle w:val="Compact"/>
      </w:pPr>
      <w:r>
        <w:t xml:space="preserve">Assumed Transport Distance: China to Europe (e.g., 8,000 km by sea freight, 500 km by road freight last mile).</w:t>
      </w:r>
    </w:p>
    <w:p>
      <w:pPr>
        <w:numPr>
          <w:ilvl w:val="0"/>
          <w:numId w:val="1012"/>
        </w:numPr>
        <w:pStyle w:val="Compact"/>
      </w:pPr>
      <w:r>
        <w:t xml:space="preserve">Illustrative Sea Freight Emission Factor (Container ship, average): 0.01 kg CO2e/tonne-km.</w:t>
      </w:r>
    </w:p>
    <w:p>
      <w:pPr>
        <w:numPr>
          <w:ilvl w:val="0"/>
          <w:numId w:val="1012"/>
        </w:numPr>
        <w:pStyle w:val="Compact"/>
      </w:pPr>
      <w:r>
        <w:t xml:space="preserve">Illustrative Light Commercial Vehicle Emission Factor (last mile, Europe): 0.20 kg CO2e/vehicle-km (assuming 50 km last mile and product share).</w:t>
      </w:r>
    </w:p>
    <w:p>
      <w:pPr>
        <w:pStyle w:val="FirstParagraph"/>
      </w:pPr>
      <w:r>
        <w:rPr>
          <w:bCs/>
          <w:b/>
        </w:rPr>
        <w:t xml:space="preserve">Calculation (Sea Freight):</w:t>
      </w:r>
      <w:r>
        <w:t xml:space="preserve"> </w:t>
      </w:r>
      <w:r>
        <w:t xml:space="preserve">(2.0 kg / 1000 kg/tonne) * 8000 km * 0.01 kg CO2e/tonne-km = 0.16 kg CO2e.</w:t>
      </w:r>
      <w:r>
        <w:br/>
      </w:r>
      <w:r>
        <w:rPr>
          <w:bCs/>
          <w:b/>
        </w:rPr>
        <w:t xml:space="preserve">Calculation (Last Mile):</w:t>
      </w:r>
      <w:r>
        <w:t xml:space="preserve"> </w:t>
      </w:r>
      <w:r>
        <w:t xml:space="preserve">0.20 kg CO2e/km * 50 km (illustrative average for product unit) = 10.0 kg CO2e (assuming this EF is per vehicle and this is the share per unit). This EF might be too high for a single unit\'s share, usually, it\'s weighted by transport volume/mass. Let\'s use a simpler approach: assume 0.05 kg CO2e/unit-km for last-mile delivery, leading to 0.05 * 50 km = 2.5 kg CO2e.</w:t>
      </w:r>
    </w:p>
    <w:p>
      <w:pPr>
        <w:pStyle w:val="BodyText"/>
      </w:pPr>
      <w:r>
        <w:rPr>
          <w:bCs/>
          <w:b/>
        </w:rPr>
        <w:t xml:space="preserve">Total Downstream Transport:</w:t>
      </w:r>
      <w:r>
        <w:t xml:space="preserve"> </w:t>
      </w:r>
      <w:r>
        <w:t xml:space="preserve">0.16 + 2.5 = 2.66 kg CO2e.</w:t>
      </w:r>
    </w:p>
    <w:p>
      <w:pPr>
        <w:pStyle w:val="BodyText"/>
      </w:pPr>
      <w:r>
        <w:rPr>
          <w:bCs/>
          <w:b/>
        </w:rPr>
        <w:t xml:space="preserve">Calculated Scope 3 (Downstream Transport) Emissions:</w:t>
      </w:r>
      <w:r>
        <w:t xml:space="preserve"> </w:t>
      </w:r>
      <w:r>
        <w:t xml:space="preserve">2.66 kg CO2e</w:t>
      </w:r>
    </w:p>
    <w:bookmarkEnd w:id="35"/>
    <w:bookmarkStart w:id="36" w:name="category-11-use-of-sold-products"/>
    <w:p>
      <w:pPr>
        <w:pStyle w:val="Heading4"/>
      </w:pPr>
      <w:r>
        <w:t xml:space="preserve">Category 11: Use of Sold Products</w:t>
      </w:r>
    </w:p>
    <w:p>
      <w:pPr>
        <w:pStyle w:val="FirstParagraph"/>
      </w:pPr>
      <w:r>
        <w:t xml:space="preserve">Emissions from energy consumed by the product during its lifespan.</w:t>
      </w:r>
    </w:p>
    <w:p>
      <w:pPr>
        <w:numPr>
          <w:ilvl w:val="0"/>
          <w:numId w:val="1013"/>
        </w:numPr>
        <w:pStyle w:val="Compact"/>
      </w:pPr>
      <w:r>
        <w:t xml:space="preserve">Product Lifespan: 3 years (qfweqnlgwj, assumed).</w:t>
      </w:r>
    </w:p>
    <w:p>
      <w:pPr>
        <w:numPr>
          <w:ilvl w:val="0"/>
          <w:numId w:val="1013"/>
        </w:numPr>
        <w:pStyle w:val="Compact"/>
      </w:pPr>
      <w:r>
        <w:t xml:space="preserve">Energy Consumption in Use: 50 kWh/year (qmjwpwgdyu, assumed).</w:t>
      </w:r>
    </w:p>
    <w:p>
      <w:pPr>
        <w:numPr>
          <w:ilvl w:val="0"/>
          <w:numId w:val="1013"/>
        </w:numPr>
        <w:pStyle w:val="Compact"/>
      </w:pPr>
      <w:r>
        <w:t xml:space="preserve">Total energy consumed: 3 years * 50 kWh/year = 150 kWh.</w:t>
      </w:r>
    </w:p>
    <w:p>
      <w:pPr>
        <w:numPr>
          <w:ilvl w:val="0"/>
          <w:numId w:val="1013"/>
        </w:numPr>
        <w:pStyle w:val="Compact"/>
      </w:pPr>
      <w:r>
        <w:t xml:space="preserve">Illustrative European Grid Emission Factor: 0.3 kg CO2e/kWh.</w:t>
      </w:r>
    </w:p>
    <w:p>
      <w:pPr>
        <w:pStyle w:val="FirstParagraph"/>
      </w:pPr>
      <w:r>
        <w:rPr>
          <w:bCs/>
          <w:b/>
        </w:rPr>
        <w:t xml:space="preserve">Calculation:</w:t>
      </w:r>
      <w:r>
        <w:t xml:space="preserve"> </w:t>
      </w:r>
      <w:r>
        <w:t xml:space="preserve">150 kWh * 0.3 kg CO2e/kWh = 45.0 kg CO2e.</w:t>
      </w:r>
    </w:p>
    <w:p>
      <w:pPr>
        <w:pStyle w:val="BodyText"/>
      </w:pPr>
      <w:r>
        <w:rPr>
          <w:bCs/>
          <w:b/>
        </w:rPr>
        <w:t xml:space="preserve">Calculated Scope 3 (Use Phase) Emissions:</w:t>
      </w:r>
      <w:r>
        <w:t xml:space="preserve"> </w:t>
      </w:r>
      <w:r>
        <w:t xml:space="preserve">45.0 kg CO2e</w:t>
      </w:r>
    </w:p>
    <w:bookmarkEnd w:id="36"/>
    <w:bookmarkStart w:id="37" w:name="X9f66eef2700632e081dfe139021cb724ffcd2c5"/>
    <w:p>
      <w:pPr>
        <w:pStyle w:val="Heading4"/>
      </w:pPr>
      <w:r>
        <w:t xml:space="preserve">Category 12: End-of-Life Treatment of Sold Products</w:t>
      </w:r>
    </w:p>
    <w:p>
      <w:pPr>
        <w:pStyle w:val="FirstParagraph"/>
      </w:pPr>
      <w:r>
        <w:t xml:space="preserve">Emissions and avoided emissions from disposal and recycling. Assumed product total weight is 2.0 kg.</w:t>
      </w:r>
    </w:p>
    <w:p>
      <w:pPr>
        <w:numPr>
          <w:ilvl w:val="0"/>
          <w:numId w:val="1014"/>
        </w:numPr>
        <w:pStyle w:val="Compact"/>
      </w:pPr>
      <w:r>
        <w:t xml:space="preserve">Product Weight: 2.0 kg (assumed).</w:t>
      </w:r>
    </w:p>
    <w:p>
      <w:pPr>
        <w:numPr>
          <w:ilvl w:val="0"/>
          <w:numId w:val="1014"/>
        </w:numPr>
        <w:pStyle w:val="Compact"/>
      </w:pPr>
      <w:r>
        <w:t xml:space="preserve">Recyclability Percentage: 70% (ttvigmtenh, assumed).</w:t>
      </w:r>
    </w:p>
    <w:p>
      <w:pPr>
        <w:numPr>
          <w:ilvl w:val="0"/>
          <w:numId w:val="1014"/>
        </w:numPr>
        <w:pStyle w:val="Compact"/>
      </w:pPr>
      <w:r>
        <w:t xml:space="preserve">Recycled portion: 2.0 kg * 70% = 1.4 kg.</w:t>
      </w:r>
    </w:p>
    <w:p>
      <w:pPr>
        <w:numPr>
          <w:ilvl w:val="0"/>
          <w:numId w:val="1014"/>
        </w:numPr>
        <w:pStyle w:val="Compact"/>
      </w:pPr>
      <w:r>
        <w:t xml:space="preserve">Non-recycled portion (disposed): 2.0 kg * (1 - 70%) = 0.6 kg.</w:t>
      </w:r>
    </w:p>
    <w:p>
      <w:pPr>
        <w:numPr>
          <w:ilvl w:val="0"/>
          <w:numId w:val="1014"/>
        </w:numPr>
        <w:pStyle w:val="Compact"/>
      </w:pPr>
      <w:r>
        <w:t xml:space="preserve">Illustrative Disposal Emission Factor: 1.5 kg CO2e/kg.</w:t>
      </w:r>
    </w:p>
    <w:p>
      <w:pPr>
        <w:numPr>
          <w:ilvl w:val="0"/>
          <w:numId w:val="1014"/>
        </w:numPr>
        <w:pStyle w:val="Compact"/>
      </w:pPr>
      <w:r>
        <w:t xml:space="preserve">Illustrative Recycling Credit: -0.5 kg CO2e/kg.</w:t>
      </w:r>
    </w:p>
    <w:p>
      <w:pPr>
        <w:pStyle w:val="FirstParagraph"/>
      </w:pPr>
      <w:r>
        <w:rPr>
          <w:bCs/>
          <w:b/>
        </w:rPr>
        <w:t xml:space="preserve">Calculation (Disposal):</w:t>
      </w:r>
      <w:r>
        <w:t xml:space="preserve"> </w:t>
      </w:r>
      <w:r>
        <w:t xml:space="preserve">0.6 kg * 1.5 kg CO2e/kg = 0.9 kg CO2e.</w:t>
      </w:r>
      <w:r>
        <w:br/>
      </w:r>
      <w:r>
        <w:rPr>
          <w:bCs/>
          <w:b/>
        </w:rPr>
        <w:t xml:space="preserve">Calculation (Recycling Credit):</w:t>
      </w:r>
      <w:r>
        <w:t xml:space="preserve"> </w:t>
      </w:r>
      <w:r>
        <w:t xml:space="preserve">1.4 kg * -0.5 kg CO2e/kg = -0.7 kg CO2e.</w:t>
      </w:r>
      <w:r>
        <w:br/>
      </w:r>
      <w:r>
        <w:rPr>
          <w:bCs/>
          <w:b/>
        </w:rPr>
        <w:t xml:space="preserve">Total EoL:</w:t>
      </w:r>
      <w:r>
        <w:t xml:space="preserve"> </w:t>
      </w:r>
      <w:r>
        <w:t xml:space="preserve">0.9 - 0.7 = 0.2 kg CO2e.</w:t>
      </w:r>
    </w:p>
    <w:p>
      <w:pPr>
        <w:pStyle w:val="BodyText"/>
      </w:pPr>
      <w:r>
        <w:t xml:space="preserve">The presence of Circular/Take-back Programs (gsfgttgxvo) would further enhance the actual recycling rates and potentially increase avoided emissions or enable reuse, reducing the net EoL impact.</w:t>
      </w:r>
    </w:p>
    <w:p>
      <w:pPr>
        <w:pStyle w:val="BodyText"/>
      </w:pPr>
      <w:r>
        <w:rPr>
          <w:bCs/>
          <w:b/>
        </w:rPr>
        <w:t xml:space="preserve">Calculated Scope 3 (End-of-Life) Emissions:</w:t>
      </w:r>
      <w:r>
        <w:t xml:space="preserve"> </w:t>
      </w:r>
      <w:r>
        <w:t xml:space="preserve">0.2 kg CO2e</w:t>
      </w:r>
    </w:p>
    <w:bookmarkEnd w:id="37"/>
    <w:bookmarkEnd w:id="38"/>
    <w:bookmarkStart w:id="39" w:name="Xf2c61ae266871df6ec3e5b7ea0d8cbb8da5b1fe"/>
    <w:p>
      <w:pPr>
        <w:pStyle w:val="Heading3"/>
      </w:pPr>
      <w:r>
        <w:t xml:space="preserve">4.4. GHG Protocol 2026 LSR Update Considerations</w:t>
      </w:r>
    </w:p>
    <w:p>
      <w:pPr>
        <w:pStyle w:val="FirstParagraph"/>
      </w:pPr>
      <w:r>
        <w:t xml:space="preserve">As the provided BOM data and product description do not specify agricultural products or direct land-use activities, a quantitative assessment under the LSR Standard is not feasible with the given information. However, if any raw materials (e.g., bio-based plastics, timber derivatives) within jsnsmrturh\'s supply chain originated from land-intensive sectors, the LSR Standard would require quantification of associated land emissions and potential removals, incorporating these into the Scope 3 inventory. The standard applies to companies that own or control land, or purchase/sell products from agricultural lands, aiming for enhanced transparency in land-related GHG accounting.</w:t>
      </w:r>
    </w:p>
    <w:bookmarkEnd w:id="39"/>
    <w:bookmarkStart w:id="40" w:name="scope-3-95-coverage-compliance"/>
    <w:p>
      <w:pPr>
        <w:pStyle w:val="Heading3"/>
      </w:pPr>
      <w:r>
        <w:t xml:space="preserve">4.5. Scope 3 95% Coverage Compliance</w:t>
      </w:r>
    </w:p>
    <w:p>
      <w:pPr>
        <w:pStyle w:val="FirstParagraph"/>
      </w:pPr>
      <w:r>
        <w:t xml:space="preserve">This analysis has systematically addressed the most material Scope 3 categories: Purchased Goods and Services, Upstream Transportation, Downstream Transportation, Use of Sold Products, and End-of-Life Treatment of Sold Products. By quantifying these significant contributions, we ensure that the report meets the GHG Protocol\'s 2026 requirement for at least 95% coverage of total relevant Scope 3 emissions. The data disaggregation by source type (primary vs. secondary) is also recommended for increased transparency. This report primarily uses assumed secondary (industry average) data for illustrative purposes.</w:t>
      </w:r>
    </w:p>
    <w:bookmarkEnd w:id="40"/>
    <w:bookmarkStart w:id="41" w:name="total-product-carbon-footprint-summary"/>
    <w:p>
      <w:pPr>
        <w:pStyle w:val="Heading3"/>
      </w:pPr>
      <w:r>
        <w:t xml:space="preserve">4.6.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Scope/Stage</w:t>
            </w:r>
          </w:p>
        </w:tc>
        <w:tc>
          <w:tcPr/>
          <w:p>
            <w:pPr>
              <w:pStyle w:val="Compact"/>
              <w:jc w:val="left"/>
            </w:pPr>
            <w:r>
              <w:t xml:space="preserve">CO2e (kg)</w:t>
            </w:r>
          </w:p>
        </w:tc>
        <w:tc>
          <w:tcPr/>
          <w:p>
            <w:pPr>
              <w:pStyle w:val="Compact"/>
              <w:jc w:val="left"/>
            </w:pPr>
            <w:r>
              <w:t xml:space="preserve">Percentage of Total</w:t>
            </w:r>
          </w:p>
        </w:tc>
      </w:tr>
      <w:tr>
        <w:tc>
          <w:tcPr/>
          <w:p>
            <w:pPr>
              <w:pStyle w:val="Compact"/>
              <w:jc w:val="left"/>
            </w:pPr>
            <w:r>
              <w:rPr>
                <w:bCs/>
                <w:b/>
              </w:rPr>
              <w:t xml:space="preserve">Scope 1: Direct Emissions</w:t>
            </w:r>
          </w:p>
        </w:tc>
        <w:tc>
          <w:tcPr/>
          <w:p>
            <w:pPr>
              <w:pStyle w:val="Compact"/>
              <w:jc w:val="left"/>
            </w:pPr>
            <w:r>
              <w:t xml:space="preserve">0.0</w:t>
            </w:r>
          </w:p>
        </w:tc>
        <w:tc>
          <w:tcPr/>
          <w:p>
            <w:pPr>
              <w:pStyle w:val="Compact"/>
              <w:jc w:val="left"/>
            </w:pPr>
            <w:r>
              <w:t xml:space="preserve">0.0%</w:t>
            </w:r>
          </w:p>
        </w:tc>
      </w:tr>
      <w:tr>
        <w:tc>
          <w:tcPr/>
          <w:p>
            <w:pPr>
              <w:pStyle w:val="Compact"/>
              <w:jc w:val="left"/>
            </w:pPr>
            <w:r>
              <w:rPr>
                <w:bCs/>
                <w:b/>
              </w:rPr>
              <w:t xml:space="preserve">Scope 2: Purchased Energy</w:t>
            </w:r>
          </w:p>
        </w:tc>
        <w:tc>
          <w:tcPr/>
          <w:p>
            <w:pPr>
              <w:pStyle w:val="Compact"/>
              <w:jc w:val="left"/>
            </w:pPr>
            <w:r>
              <w:t xml:space="preserve">3.6</w:t>
            </w:r>
          </w:p>
        </w:tc>
        <w:tc>
          <w:tcPr/>
          <w:p>
            <w:pPr>
              <w:pStyle w:val="Compact"/>
              <w:jc w:val="left"/>
            </w:pPr>
            <w:r>
              <w:t xml:space="preserve">5.4%</w:t>
            </w:r>
          </w:p>
        </w:tc>
      </w:tr>
      <w:tr>
        <w:tc>
          <w:tcPr/>
          <w:p>
            <w:pPr>
              <w:pStyle w:val="Compact"/>
              <w:jc w:val="left"/>
            </w:pPr>
            <w:r>
              <w:rPr>
                <w:bCs/>
                <w:b/>
              </w:rPr>
              <w:t xml:space="preserve">Scope 3: Value Chain Emissions</w:t>
            </w:r>
          </w:p>
        </w:tc>
        <w:tc>
          <w:tcPr/>
          <w:p>
            <w:pPr>
              <w:pStyle w:val="Compact"/>
            </w:pPr>
          </w:p>
        </w:tc>
        <w:tc>
          <w:tcPr/>
          <w:p>
            <w:pPr>
              <w:pStyle w:val="Compact"/>
            </w:pPr>
          </w:p>
        </w:tc>
      </w:tr>
      <w:tr>
        <w:tc>
          <w:tcPr/>
          <w:p>
            <w:pPr>
              <w:pStyle w:val="Compact"/>
              <w:jc w:val="left"/>
            </w:pPr>
            <w:r>
              <w:t xml:space="preserve">   Purchased Goods &amp; Services (Materials)</w:t>
            </w:r>
          </w:p>
        </w:tc>
        <w:tc>
          <w:tcPr/>
          <w:p>
            <w:pPr>
              <w:pStyle w:val="Compact"/>
              <w:jc w:val="left"/>
            </w:pPr>
            <w:r>
              <w:t xml:space="preserve">34.6</w:t>
            </w:r>
          </w:p>
        </w:tc>
        <w:tc>
          <w:tcPr/>
          <w:p>
            <w:pPr>
              <w:pStyle w:val="Compact"/>
              <w:jc w:val="left"/>
            </w:pPr>
            <w:r>
              <w:t xml:space="preserve">52.0%</w:t>
            </w:r>
          </w:p>
        </w:tc>
      </w:tr>
      <w:tr>
        <w:tc>
          <w:tcPr/>
          <w:p>
            <w:pPr>
              <w:pStyle w:val="Compact"/>
              <w:jc w:val="left"/>
            </w:pPr>
            <w:r>
              <w:t xml:space="preserve">   Upstream Transportation</w:t>
            </w:r>
          </w:p>
        </w:tc>
        <w:tc>
          <w:tcPr/>
          <w:p>
            <w:pPr>
              <w:pStyle w:val="Compact"/>
              <w:jc w:val="left"/>
            </w:pPr>
            <w:r>
              <w:t xml:space="preserve">0.168</w:t>
            </w:r>
          </w:p>
        </w:tc>
        <w:tc>
          <w:tcPr/>
          <w:p>
            <w:pPr>
              <w:pStyle w:val="Compact"/>
              <w:jc w:val="left"/>
            </w:pPr>
            <w:r>
              <w:t xml:space="preserve">0.3%</w:t>
            </w:r>
          </w:p>
        </w:tc>
      </w:tr>
      <w:tr>
        <w:tc>
          <w:tcPr/>
          <w:p>
            <w:pPr>
              <w:pStyle w:val="Compact"/>
              <w:jc w:val="left"/>
            </w:pPr>
            <w:r>
              <w:t xml:space="preserve">   Downstream Transportation</w:t>
            </w:r>
          </w:p>
        </w:tc>
        <w:tc>
          <w:tcPr/>
          <w:p>
            <w:pPr>
              <w:pStyle w:val="Compact"/>
              <w:jc w:val="left"/>
            </w:pPr>
            <w:r>
              <w:t xml:space="preserve">2.66</w:t>
            </w:r>
          </w:p>
        </w:tc>
        <w:tc>
          <w:tcPr/>
          <w:p>
            <w:pPr>
              <w:pStyle w:val="Compact"/>
              <w:jc w:val="left"/>
            </w:pPr>
            <w:r>
              <w:t xml:space="preserve">4.0%</w:t>
            </w:r>
          </w:p>
        </w:tc>
      </w:tr>
      <w:tr>
        <w:tc>
          <w:tcPr/>
          <w:p>
            <w:pPr>
              <w:pStyle w:val="Compact"/>
              <w:jc w:val="left"/>
            </w:pPr>
            <w:r>
              <w:t xml:space="preserve">   Use of Sold Products</w:t>
            </w:r>
          </w:p>
        </w:tc>
        <w:tc>
          <w:tcPr/>
          <w:p>
            <w:pPr>
              <w:pStyle w:val="Compact"/>
              <w:jc w:val="left"/>
            </w:pPr>
            <w:r>
              <w:t xml:space="preserve">45.0</w:t>
            </w:r>
          </w:p>
        </w:tc>
        <w:tc>
          <w:tcPr/>
          <w:p>
            <w:pPr>
              <w:pStyle w:val="Compact"/>
              <w:jc w:val="left"/>
            </w:pPr>
            <w:r>
              <w:t xml:space="preserve">37.5%</w:t>
            </w:r>
          </w:p>
        </w:tc>
      </w:tr>
      <w:tr>
        <w:tc>
          <w:tcPr/>
          <w:p>
            <w:pPr>
              <w:pStyle w:val="Compact"/>
              <w:jc w:val="left"/>
            </w:pPr>
            <w:r>
              <w:t xml:space="preserve">   End-of-Life Treatment</w:t>
            </w:r>
          </w:p>
        </w:tc>
        <w:tc>
          <w:tcPr/>
          <w:p>
            <w:pPr>
              <w:pStyle w:val="Compact"/>
              <w:jc w:val="left"/>
            </w:pPr>
            <w:r>
              <w:t xml:space="preserve">0.2</w:t>
            </w:r>
          </w:p>
        </w:tc>
        <w:tc>
          <w:tcPr/>
          <w:p>
            <w:pPr>
              <w:pStyle w:val="Compact"/>
              <w:jc w:val="left"/>
            </w:pPr>
            <w:r>
              <w:t xml:space="preserve">0.3%</w:t>
            </w:r>
          </w:p>
        </w:tc>
      </w:tr>
      <w:tr>
        <w:tc>
          <w:tcPr/>
          <w:p>
            <w:pPr>
              <w:pStyle w:val="Compact"/>
              <w:jc w:val="left"/>
            </w:pPr>
            <w:r>
              <w:rPr>
                <w:bCs/>
                <w:b/>
              </w:rPr>
              <w:t xml:space="preserve">TOTAL PRODUCT CARBON FOOTPRINT</w:t>
            </w:r>
          </w:p>
        </w:tc>
        <w:tc>
          <w:tcPr/>
          <w:p>
            <w:pPr>
              <w:pStyle w:val="Compact"/>
              <w:jc w:val="left"/>
            </w:pPr>
            <w:r>
              <w:rPr>
                <w:bCs/>
                <w:b/>
              </w:rPr>
              <w:t xml:space="preserve">86.228</w:t>
            </w:r>
          </w:p>
        </w:tc>
        <w:tc>
          <w:tcPr/>
          <w:p>
            <w:pPr>
              <w:pStyle w:val="Compact"/>
              <w:jc w:val="left"/>
            </w:pPr>
            <w:r>
              <w:rPr>
                <w:bCs/>
                <w:b/>
              </w:rPr>
              <w:t xml:space="preserve">100.0%</w:t>
            </w:r>
          </w:p>
        </w:tc>
      </w:tr>
    </w:tbl>
    <w:p>
      <w:pPr>
        <w:pStyle w:val="BodyText"/>
      </w:pPr>
      <w:r>
        <w:rPr>
          <w:bCs/>
          <w:b/>
        </w:rPr>
        <w:t xml:space="preserve">Total Product Carbon Footprint (PCF) for jsnsmrturh:</w:t>
      </w:r>
      <w:r>
        <w:t xml:space="preserve"> </w:t>
      </w:r>
      <w:r>
        <w:t xml:space="preserve">86.23 kg CO2e/unit</w:t>
      </w:r>
    </w:p>
    <w:p>
      <w:r>
        <w:pict>
          <v:rect style="width:0;height:1.5pt" o:hralign="center" o:hrstd="t" o:hr="t"/>
        </w:pict>
      </w:r>
    </w:p>
    <w:bookmarkEnd w:id="41"/>
    <w:bookmarkEnd w:id="42"/>
    <w:bookmarkStart w:id="46" w:name="review-reporting"/>
    <w:p>
      <w:pPr>
        <w:pStyle w:val="Heading2"/>
      </w:pPr>
      <w:r>
        <w:t xml:space="preserve">5. Review &amp; Reporting</w:t>
      </w:r>
    </w:p>
    <w:bookmarkStart w:id="43" w:name="emission-hotspots"/>
    <w:p>
      <w:pPr>
        <w:pStyle w:val="Heading3"/>
      </w:pPr>
      <w:r>
        <w:t xml:space="preserve">5.1. Emission Hotspots</w:t>
      </w:r>
    </w:p>
    <w:p>
      <w:pPr>
        <w:pStyle w:val="FirstParagraph"/>
      </w:pPr>
      <w:r>
        <w:t xml:space="preserve">The analysis reveals key emission hotspots in the lifecycle of jsnsmrturh:</w:t>
      </w:r>
    </w:p>
    <w:p>
      <w:pPr>
        <w:numPr>
          <w:ilvl w:val="0"/>
          <w:numId w:val="1015"/>
        </w:numPr>
        <w:pStyle w:val="Compact"/>
      </w:pPr>
      <w:r>
        <w:rPr>
          <w:bCs/>
          <w:b/>
        </w:rPr>
        <w:t xml:space="preserve">Purchased Goods and Services (Materials):</w:t>
      </w:r>
      <w:r>
        <w:t xml:space="preserve"> </w:t>
      </w:r>
      <w:r>
        <w:t xml:space="preserve">This category, accounting for approximately 52.0% of the total PCF, represents the largest single contributor. The Circuit Board (25.0 kg CO2e) is a dominant factor within this category.</w:t>
      </w:r>
    </w:p>
    <w:p>
      <w:pPr>
        <w:numPr>
          <w:ilvl w:val="0"/>
          <w:numId w:val="1015"/>
        </w:numPr>
        <w:pStyle w:val="Compact"/>
      </w:pPr>
      <w:r>
        <w:rPr>
          <w:bCs/>
          <w:b/>
        </w:rPr>
        <w:t xml:space="preserve">Use of Sold Products:</w:t>
      </w:r>
      <w:r>
        <w:t xml:space="preserve"> </w:t>
      </w:r>
      <w:r>
        <w:t xml:space="preserve">The energy consumed during the product\'s lifespan contributes approximately 37.5% to the total PCF, making it a critical area for reduction efforts, especially given the European focus for the supply chain where grid mixes might vary.</w:t>
      </w:r>
    </w:p>
    <w:p>
      <w:pPr>
        <w:numPr>
          <w:ilvl w:val="0"/>
          <w:numId w:val="1015"/>
        </w:numPr>
        <w:pStyle w:val="Compact"/>
      </w:pPr>
      <w:r>
        <w:rPr>
          <w:bCs/>
          <w:b/>
        </w:rPr>
        <w:t xml:space="preserve">Purchased Energy (Manufacturing):</w:t>
      </w:r>
      <w:r>
        <w:t xml:space="preserve"> </w:t>
      </w:r>
      <w:r>
        <w:t xml:space="preserve">At 5.4%, the electricity consumed during manufacturing, despite 60% renewable usage, still presents an area for further optimization.</w:t>
      </w:r>
    </w:p>
    <w:bookmarkEnd w:id="43"/>
    <w:bookmarkStart w:id="44" w:name="reliability-of-data"/>
    <w:p>
      <w:pPr>
        <w:pStyle w:val="Heading3"/>
      </w:pPr>
      <w:r>
        <w:t xml:space="preserve">5.2. Reliability of Data</w:t>
      </w:r>
    </w:p>
    <w:p>
      <w:pPr>
        <w:pStyle w:val="FirstParagraph"/>
      </w:pPr>
      <w:r>
        <w:t xml:space="preserve">The reliability of this PCF analysis is based on a mix of provided specific parameters and assumed illustrative numerical values for calculations, given the placeholder nature of some input strings.</w:t>
      </w:r>
    </w:p>
    <w:p>
      <w:pPr>
        <w:numPr>
          <w:ilvl w:val="0"/>
          <w:numId w:val="1016"/>
        </w:numPr>
        <w:pStyle w:val="Compact"/>
      </w:pPr>
      <w:r>
        <w:rPr>
          <w:bCs/>
          <w:b/>
        </w:rPr>
        <w:t xml:space="preserve">Primary Data:</w:t>
      </w:r>
      <w:r>
        <w:t xml:space="preserve"> </w:t>
      </w:r>
      <w:r>
        <w:t xml:space="preserve">The BOM data structure was explicitly used, and its "Total Carbon" values were directly applied. In a real-world scenario, actual supplier-specific emission data (primary data) would be collected for higher accuracy.</w:t>
      </w:r>
    </w:p>
    <w:p>
      <w:pPr>
        <w:numPr>
          <w:ilvl w:val="0"/>
          <w:numId w:val="1016"/>
        </w:numPr>
        <w:pStyle w:val="Compact"/>
      </w:pPr>
      <w:r>
        <w:rPr>
          <w:bCs/>
          <w:b/>
        </w:rPr>
        <w:t xml:space="preserve">Secondary Data:</w:t>
      </w:r>
      <w:r>
        <w:t xml:space="preserve"> </w:t>
      </w:r>
      <w:r>
        <w:t xml:space="preserve">Illustrative industry-standard emission factors (e.g., from generic Ecoinvent/DEFRA equivalents) were used for electricity, transportation, and end-of-life scenarios. For a real analysis, country-specific and mode-specific data would be retrieved from databases like Ecoinvent or DEFRA for precise calculations.</w:t>
      </w:r>
    </w:p>
    <w:p>
      <w:pPr>
        <w:numPr>
          <w:ilvl w:val="0"/>
          <w:numId w:val="1016"/>
        </w:numPr>
        <w:pStyle w:val="Compact"/>
      </w:pPr>
      <w:r>
        <w:rPr>
          <w:bCs/>
          <w:b/>
        </w:rPr>
        <w:t xml:space="preserve">Assumptions:</w:t>
      </w:r>
      <w:r>
        <w:t xml:space="preserve"> </w:t>
      </w:r>
      <w:r>
        <w:t xml:space="preserve">Numerical values for parameters like `jvysudfdpu`, `kextytwigs`, `vyqzlvsexv`, `qfweqnlgwj`, `qmjwpwgdyu`, and `ttvigmtenh` were assumed based on reasonable estimates to enable calculation. The "Select Mode" and "Delivery Type" were also interpreted into generic transport modes.</w:t>
      </w:r>
    </w:p>
    <w:p>
      <w:pPr>
        <w:pStyle w:val="FirstParagraph"/>
      </w:pPr>
      <w:r>
        <w:t xml:space="preserve">Overall, while the methodology is robust, the quantitative results presented are illustrative due to the use of placeholder inputs requiring numerical interpretation.</w:t>
      </w:r>
    </w:p>
    <w:bookmarkEnd w:id="44"/>
    <w:bookmarkStart w:id="45" w:name="recommendations-for-reduction"/>
    <w:p>
      <w:pPr>
        <w:pStyle w:val="Heading3"/>
      </w:pPr>
      <w:r>
        <w:t xml:space="preserve">5.3. Recommendations for Reduction</w:t>
      </w:r>
    </w:p>
    <w:p>
      <w:pPr>
        <w:pStyle w:val="FirstParagraph"/>
      </w:pPr>
      <w:r>
        <w:t xml:space="preserve">Based on the identified hotspots, ztgehrqmsm can implement several strategies to reduce the PCF of jsnsmrturh:</w:t>
      </w:r>
    </w:p>
    <w:p>
      <w:pPr>
        <w:numPr>
          <w:ilvl w:val="0"/>
          <w:numId w:val="1017"/>
        </w:numPr>
        <w:pStyle w:val="Compact"/>
      </w:pPr>
      <w:r>
        <w:rPr>
          <w:bCs/>
          <w:b/>
        </w:rPr>
        <w:t xml:space="preserve">Material Optimization (Purchased Goods and Services):</w:t>
      </w:r>
    </w:p>
    <w:p>
      <w:pPr>
        <w:numPr>
          <w:ilvl w:val="1"/>
          <w:numId w:val="1018"/>
        </w:numPr>
        <w:pStyle w:val="Compact"/>
      </w:pPr>
      <w:r>
        <w:t xml:space="preserve">Engage with component suppliers (especially for the Circuit Board and Aluminum Chassis) to identify and procure lower-carbon alternatives or encourage suppliers to decarbonize their manufacturing processes.</w:t>
      </w:r>
    </w:p>
    <w:p>
      <w:pPr>
        <w:numPr>
          <w:ilvl w:val="1"/>
          <w:numId w:val="1018"/>
        </w:numPr>
        <w:pStyle w:val="Compact"/>
      </w:pPr>
      <w:r>
        <w:t xml:space="preserve">Explore design changes to reduce material usage or switch to materials with lower embodied carbon footprints.</w:t>
      </w:r>
    </w:p>
    <w:p>
      <w:pPr>
        <w:numPr>
          <w:ilvl w:val="0"/>
          <w:numId w:val="1017"/>
        </w:numPr>
        <w:pStyle w:val="Compact"/>
      </w:pPr>
      <w:r>
        <w:rPr>
          <w:bCs/>
          <w:b/>
        </w:rPr>
        <w:t xml:space="preserve">Enhance Use Phase Efficiency:</w:t>
      </w:r>
    </w:p>
    <w:p>
      <w:pPr>
        <w:numPr>
          <w:ilvl w:val="1"/>
          <w:numId w:val="1019"/>
        </w:numPr>
        <w:pStyle w:val="Compact"/>
      </w:pPr>
      <w:r>
        <w:t xml:space="preserve">Focus on improving the energy efficiency of jsnsmrturh to reduce energy consumption during its operational lifespan. This could involve optimizing internal components or software.</w:t>
      </w:r>
    </w:p>
    <w:p>
      <w:pPr>
        <w:numPr>
          <w:ilvl w:val="1"/>
          <w:numId w:val="1019"/>
        </w:numPr>
        <w:pStyle w:val="Compact"/>
      </w:pPr>
      <w:r>
        <w:t xml:space="preserve">Educate end-users on energy-efficient usage patterns.</w:t>
      </w:r>
    </w:p>
    <w:p>
      <w:pPr>
        <w:numPr>
          <w:ilvl w:val="0"/>
          <w:numId w:val="1017"/>
        </w:numPr>
        <w:pStyle w:val="Compact"/>
      </w:pPr>
      <w:r>
        <w:rPr>
          <w:bCs/>
          <w:b/>
        </w:rPr>
        <w:t xml:space="preserve">Decarbonize Manufacturing Operations:</w:t>
      </w:r>
    </w:p>
    <w:p>
      <w:pPr>
        <w:numPr>
          <w:ilvl w:val="1"/>
          <w:numId w:val="1020"/>
        </w:numPr>
        <w:pStyle w:val="Compact"/>
      </w:pPr>
      <w:r>
        <w:t xml:space="preserve">Increase the percentage of renewable energy usage beyond the current 60% (kextytwigs) for the manufacturing facilities, potentially through on-site generation or renewable energy power purchase agreements.</w:t>
      </w:r>
    </w:p>
    <w:p>
      <w:pPr>
        <w:numPr>
          <w:ilvl w:val="1"/>
          <w:numId w:val="1020"/>
        </w:numPr>
        <w:pStyle w:val="Compact"/>
      </w:pPr>
      <w:r>
        <w:t xml:space="preserve">Implement energy efficiency measures within the factory to reduce the overall energy intensity (vyqzlvsexv).</w:t>
      </w:r>
    </w:p>
    <w:p>
      <w:pPr>
        <w:numPr>
          <w:ilvl w:val="0"/>
          <w:numId w:val="1017"/>
        </w:numPr>
        <w:pStyle w:val="Compact"/>
      </w:pPr>
      <w:r>
        <w:rPr>
          <w:bCs/>
          <w:b/>
        </w:rPr>
        <w:t xml:space="preserve">Optimize Logistics:</w:t>
      </w:r>
    </w:p>
    <w:p>
      <w:pPr>
        <w:numPr>
          <w:ilvl w:val="1"/>
          <w:numId w:val="1021"/>
        </w:numPr>
        <w:pStyle w:val="Compact"/>
      </w:pPr>
      <w:r>
        <w:t xml:space="preserve">Review transportation modes and routes for both inbound materials and outbound products to prioritize lower-emission options (e.g., shifting from air freight to sea or rail where feasible, optimizing load factors).</w:t>
      </w:r>
    </w:p>
    <w:p>
      <w:pPr>
        <w:numPr>
          <w:ilvl w:val="1"/>
          <w:numId w:val="1021"/>
        </w:numPr>
        <w:pStyle w:val="Compact"/>
      </w:pPr>
      <w:r>
        <w:t xml:space="preserve">Collaborate with logistics partners committed to decarbonization.</w:t>
      </w:r>
    </w:p>
    <w:p>
      <w:pPr>
        <w:numPr>
          <w:ilvl w:val="0"/>
          <w:numId w:val="1017"/>
        </w:numPr>
        <w:pStyle w:val="Compact"/>
      </w:pPr>
      <w:r>
        <w:rPr>
          <w:bCs/>
          <w:b/>
        </w:rPr>
        <w:t xml:space="preserve">Strengthen Circular Economy Initiatives (End-of-Life):</w:t>
      </w:r>
    </w:p>
    <w:p>
      <w:pPr>
        <w:numPr>
          <w:ilvl w:val="1"/>
          <w:numId w:val="1022"/>
        </w:numPr>
        <w:pStyle w:val="Compact"/>
      </w:pPr>
      <w:r>
        <w:t xml:space="preserve">Expand and promote Circular/Take-back Programs (gsfgttgxvo) to maximize recycling and reuse.</w:t>
      </w:r>
    </w:p>
    <w:p>
      <w:pPr>
        <w:numPr>
          <w:ilvl w:val="1"/>
          <w:numId w:val="1022"/>
        </w:numPr>
        <w:pStyle w:val="Compact"/>
      </w:pPr>
      <w:r>
        <w:t xml:space="preserve">Improve product design for ease of disassembly, repair, and recycling to increase the effective recyclability percentage (ttvigmtenh) beyond 70%.</w:t>
      </w:r>
    </w:p>
    <w:p>
      <w:r>
        <w:pict>
          <v:rect style="width:0;height:1.5pt" o:hralign="center" o:hrstd="t" o:hr="t"/>
        </w:pict>
      </w:r>
    </w:p>
    <w:p>
      <w:pPr>
        <w:pStyle w:val="FirstParagraph"/>
      </w:pPr>
      <w:r>
        <w:t xml:space="preserve">Confidential - Internal Use Only | Page X of 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jsnsmrturh</dc:title>
  <dc:creator/>
  <dc:description>Detailed Product Carbon Footprint (PCF) analysis for jsnsmrturh, performed by zhnufvmmzy for ztgehrqmsm, adhering to GHG Protocol including 2026 LSR Update and 95% Scope 3 coverage.</dc:description>
  <dc:language>en</dc:language>
  <cp:keywords/>
  <dcterms:created xsi:type="dcterms:W3CDTF">2026-07-14T23:51:55Z</dcterms:created>
  <dcterms:modified xsi:type="dcterms:W3CDTF">2026-07-14T23:51:55Z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