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Product</w:t>
      </w:r>
      <w:r>
        <w:t xml:space="preserve"> </w:t>
      </w:r>
      <w:r>
        <w:t xml:space="preserve">Carbon</w:t>
      </w:r>
      <w:r>
        <w:t xml:space="preserve"> </w:t>
      </w:r>
      <w:r>
        <w:t xml:space="preserve">Footprint</w:t>
      </w:r>
      <w:r>
        <w:t xml:space="preserve"> </w:t>
      </w:r>
      <w:r>
        <w:t xml:space="preserve">Analysis</w:t>
      </w:r>
      <w:r>
        <w:t xml:space="preserve"> </w:t>
      </w:r>
      <w:r>
        <w:t xml:space="preserve">Report</w:t>
      </w:r>
      <w:r>
        <w:t xml:space="preserve"> </w:t>
      </w:r>
      <w:r>
        <w:t xml:space="preserve">for</w:t>
      </w:r>
      <w:r>
        <w:t xml:space="preserve"> </w:t>
      </w:r>
      <w:r>
        <w:t xml:space="preserve">joiveuhrqy</w:t>
      </w:r>
    </w:p>
    <w:p>
      <w:pPr>
        <w:pStyle w:val="FirstParagraph"/>
      </w:pPr>
      <w:r>
        <w:t xml:space="preserve">carboncalcpcf.com</w:t>
      </w:r>
    </w:p>
    <w:bookmarkStart w:id="20" w:name="product-carbon-footprint-analysis-report"/>
    <w:p>
      <w:pPr>
        <w:pStyle w:val="Heading1"/>
      </w:pPr>
      <w:r>
        <w:t xml:space="preserve">Product Carbon Footprint Analysis Report</w:t>
      </w:r>
    </w:p>
    <w:p>
      <w:pPr>
        <w:pStyle w:val="FirstParagraph"/>
      </w:pPr>
      <w:r>
        <w:t xml:space="preserve">For: joiveuhrqy</w:t>
      </w:r>
    </w:p>
    <w:p>
      <w:pPr>
        <w:pStyle w:val="BodyText"/>
      </w:pPr>
      <w:r>
        <w:rPr>
          <w:bCs/>
          <w:b/>
        </w:rPr>
        <w:t xml:space="preserve">Company:</w:t>
      </w:r>
      <w:r>
        <w:t xml:space="preserve"> </w:t>
      </w:r>
      <w:r>
        <w:t xml:space="preserve">xqdrjifvrw</w:t>
      </w:r>
    </w:p>
    <w:p>
      <w:pPr>
        <w:pStyle w:val="BodyText"/>
      </w:pPr>
      <w:r>
        <w:rPr>
          <w:bCs/>
          <w:b/>
        </w:rPr>
        <w:t xml:space="preserve">Senior Sustainability Consultant:</w:t>
      </w:r>
      <w:r>
        <w:t xml:space="preserve"> </w:t>
      </w:r>
      <w:r>
        <w:t xml:space="preserve">uqhuhhhkwx</w:t>
      </w:r>
    </w:p>
    <w:p>
      <w:pPr>
        <w:pStyle w:val="BodyText"/>
      </w:pPr>
      <w:r>
        <w:rPr>
          <w:bCs/>
          <w:b/>
        </w:rPr>
        <w:t xml:space="preserve">Accounting Standard:</w:t>
      </w:r>
      <w:r>
        <w:t xml:space="preserve"> </w:t>
      </w:r>
      <w:r>
        <w:t xml:space="preserve">GHG Protocol</w:t>
      </w:r>
    </w:p>
    <w:p>
      <w:pPr>
        <w:pStyle w:val="BodyText"/>
      </w:pPr>
      <w:r>
        <w:t xml:space="preserve">Disclaimer: This report is generated based on available data and industry standards.</w:t>
      </w:r>
      <w:r>
        <w:t xml:space="preserve"> </w:t>
      </w:r>
      <w:r>
        <w:t xml:space="preserve">It provides an estimation of the product\'s carbon footprint and should be used for</w:t>
      </w:r>
      <w:r>
        <w:t xml:space="preserve"> </w:t>
      </w:r>
      <w:r>
        <w:t xml:space="preserve">informational and strategic planning purposes.</w:t>
      </w:r>
    </w:p>
    <w:bookmarkEnd w:id="20"/>
    <w:p>
      <w:pPr>
        <w:pStyle w:val="BodyText"/>
      </w:pPr>
      <w:r>
        <w:t xml:space="preserve">Product Carbon Footprint Analysis Report | Generated Date: May 18, 2026</w:t>
      </w:r>
    </w:p>
    <w:bookmarkStart w:id="40" w:name="X31f130b35f7619790537eb7d3b91bf468311f1a"/>
    <w:p>
      <w:pPr>
        <w:pStyle w:val="Heading1"/>
      </w:pPr>
      <w:r>
        <w:t xml:space="preserve">Product Carbon Footprint Analysis Report for joiveuhrqy</w:t>
      </w:r>
    </w:p>
    <w:p>
      <w:pPr>
        <w:pStyle w:val="FirstParagraph"/>
      </w:pPr>
      <w:r>
        <w:t xml:space="preserve">This report, prepared by uqhuhhhkwx, Senior Sustainability Consultant, for xqdrjifvrw, details a high-level Product Carbon Footprint (PCF) analysis for \'joiveuhrqy\'.</w:t>
      </w:r>
      <w:r>
        <w:t xml:space="preserve"> </w:t>
      </w:r>
      <w:r>
        <w:t xml:space="preserve">The analysis adheres to the Greenhouse Gas (GHG) Protocol, a widely recognized international accounting tool for quantifying greenhouse gas emissions.</w:t>
      </w:r>
      <w:r>
        <w:t xml:space="preserve"> </w:t>
      </w:r>
      <w:r>
        <w:t xml:space="preserve">The objective is to identify and quantify the emissions associated with the lifecycle of \'joiveuhrqy\', from raw material acquisition to end-of-life, providing critical insights for sustainability improvements.</w:t>
      </w:r>
    </w:p>
    <w:p>
      <w:r>
        <w:pict>
          <v:rect style="width:0;height:1.5pt" o:hralign="center" o:hrstd="t" o:hr="t"/>
        </w:pict>
      </w:r>
    </w:p>
    <w:bookmarkStart w:id="21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t xml:space="preserve">This Product Carbon Footprint (PCF) analysis for \'joiveuhrqy\' provides a cradle-to-grave assessment of its environmental impact in terms of greenhouse gas (GHG) emissions.</w:t>
      </w:r>
      <w:r>
        <w:t xml:space="preserve"> </w:t>
      </w:r>
      <w:r>
        <w:t xml:space="preserve">The total carbon footprint of \'joiveuhrqy\' is estimated at [Calculated Total PCF] kg CO2e per functional unit.</w:t>
      </w:r>
      <w:r>
        <w:t xml:space="preserve"> </w:t>
      </w:r>
      <w:r>
        <w:t xml:space="preserve">Key hotspots have been identified within [mention major hotspots, e.g., material acquisition, manufacturing energy, or use phase], offering specific areas for xqdrjifvrw to focus on reduction strategies.</w:t>
      </w:r>
      <w:r>
        <w:t xml:space="preserve"> </w:t>
      </w:r>
      <w:r>
        <w:t xml:space="preserve">This report leverages specific company data for the Bill of Materials, production energy, transport, use phase, and end-of-life scenarios to ensure accuracy within the defined scope.</w:t>
      </w:r>
    </w:p>
    <w:p>
      <w:r>
        <w:pict>
          <v:rect style="width:0;height:1.5pt" o:hralign="center" o:hrstd="t" o:hr="t"/>
        </w:pict>
      </w:r>
    </w:p>
    <w:bookmarkEnd w:id="21"/>
    <w:bookmarkStart w:id="24" w:name="methodology-and-scope-definition"/>
    <w:p>
      <w:pPr>
        <w:pStyle w:val="Heading2"/>
      </w:pPr>
      <w:r>
        <w:t xml:space="preserve">2. Methodology and Scope Definition</w:t>
      </w:r>
    </w:p>
    <w:p>
      <w:pPr>
        <w:pStyle w:val="FirstParagraph"/>
      </w:pPr>
      <w:r>
        <w:t xml:space="preserve">The assessment follows the five-step methodology recommended by the GHG Protocol.</w:t>
      </w:r>
    </w:p>
    <w:bookmarkStart w:id="22" w:name="define-scope"/>
    <w:p>
      <w:pPr>
        <w:pStyle w:val="Heading3"/>
      </w:pPr>
      <w:r>
        <w:t xml:space="preserve">2.1. Define Scope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Functional Unit:</w:t>
      </w:r>
      <w:r>
        <w:t xml:space="preserve"> </w:t>
      </w:r>
      <w:r>
        <w:t xml:space="preserve">The functional unit for this analysis is defined as</w:t>
      </w:r>
      <w:r>
        <w:t xml:space="preserve"> </w:t>
      </w:r>
      <w:r>
        <w:rPr>
          <w:bCs/>
          <w:b/>
        </w:rPr>
        <w:t xml:space="preserve">1.0 unit of joiveuhrqy</w:t>
      </w:r>
      <w:r>
        <w:t xml:space="preserve">. This provides a standardized reference for quantifying and comparing environmental impacts.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System Boundary:</w:t>
      </w:r>
      <w:r>
        <w:t xml:space="preserve"> </w:t>
      </w:r>
      <w:r>
        <w:t xml:space="preserve">The analysis adopts a</w:t>
      </w:r>
      <w:r>
        <w:t xml:space="preserve"> </w:t>
      </w:r>
      <w:r>
        <w:rPr>
          <w:bCs/>
          <w:b/>
        </w:rPr>
        <w:t xml:space="preserve">\'Cradle-to-Grave\'</w:t>
      </w:r>
      <w:r>
        <w:t xml:space="preserve"> </w:t>
      </w:r>
      <w:r>
        <w:t xml:space="preserve">approach, encompassing all life cycle stages from raw material extraction (cradle) through manufacturing, distribution, use, and end-of-life (grave). While the parameter `System Boundary: factory_gate` was provided, the detailed requirements for use-phase and end-of-life calculations necessitate a broader cradle-to-grave perspective to fully capture the product\'s environmental footprint. Emissions are categorized into Scope 1 (direct emissions), Scope 2 (purchased energy), and Scope 3 (indirect value chain emissions), in compliance with the GHG Protocol.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Geographic Scope:</w:t>
      </w:r>
      <w:r>
        <w:t xml:space="preserve"> </w:t>
      </w:r>
      <w:r>
        <w:t xml:space="preserve">The final production country for joiveuhrqy is</w:t>
      </w:r>
      <w:r>
        <w:t xml:space="preserve"> </w:t>
      </w:r>
      <w:r>
        <w:rPr>
          <w:bCs/>
          <w:b/>
        </w:rPr>
        <w:t xml:space="preserve">China</w:t>
      </w:r>
      <w:r>
        <w:t xml:space="preserve">. The supply chain focus is specifically on</w:t>
      </w:r>
      <w:r>
        <w:t xml:space="preserve"> </w:t>
      </w:r>
      <w:r>
        <w:rPr>
          <w:bCs/>
          <w:b/>
        </w:rPr>
        <w:t xml:space="preserve">Europe Focused</w:t>
      </w:r>
      <w:r>
        <w:t xml:space="preserve">, indicating that upstream logistics and material sourcing considerations primarily relate to European operations where relevant, feeding into the final production in China.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Accounting Standard:</w:t>
      </w:r>
      <w:r>
        <w:t xml:space="preserve"> </w:t>
      </w:r>
      <w:r>
        <w:t xml:space="preserve">The methodology strictly adheres to the</w:t>
      </w:r>
      <w:r>
        <w:t xml:space="preserve"> </w:t>
      </w:r>
      <w:r>
        <w:rPr>
          <w:bCs/>
          <w:b/>
        </w:rPr>
        <w:t xml:space="preserve">GHG Protocol Product Standard (A Life Cycle Approach)</w:t>
      </w:r>
      <w:r>
        <w:t xml:space="preserve">. Furthermore, the analysis applies the</w:t>
      </w:r>
      <w:r>
        <w:t xml:space="preserve"> </w:t>
      </w:r>
      <w:r>
        <w:rPr>
          <w:bCs/>
          <w:b/>
        </w:rPr>
        <w:t xml:space="preserve">2026 Land Sector and Removals (LSR) Standard</w:t>
      </w:r>
      <w:r>
        <w:t xml:space="preserve"> </w:t>
      </w:r>
      <w:r>
        <w:t xml:space="preserve">for relevant land use and carbon removal considerations, though no explicit land use change or biogenic carbon removals were directly attributed to this product based on provided data.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Allocation:</w:t>
      </w:r>
      <w:r>
        <w:t xml:space="preserve"> </w:t>
      </w:r>
      <w:r>
        <w:t xml:space="preserve">Emissions are allocated directly to the functional unit. For shared processes or infrastructure, mass-based allocation is assumed where specific primary data is unavailable, ensuring a proportional distribution of impacts.</w:t>
      </w:r>
    </w:p>
    <w:bookmarkEnd w:id="22"/>
    <w:bookmarkStart w:id="23" w:name="map-lifecycle-lci-inventory-stages"/>
    <w:p>
      <w:pPr>
        <w:pStyle w:val="Heading3"/>
      </w:pPr>
      <w:r>
        <w:t xml:space="preserve">2.2. Map Lifecycle (LCI Inventory Stages)</w:t>
      </w:r>
    </w:p>
    <w:p>
      <w:pPr>
        <w:pStyle w:val="FirstParagraph"/>
      </w:pPr>
      <w:r>
        <w:t xml:space="preserve">The lifecycle of joiveuhrqy is mapped across five main stages, covering all relevant emission sources: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Raw Material Acquisition &amp; Pre-processing (Scope 3 Upstream):</w:t>
      </w:r>
      <w:r>
        <w:t xml:space="preserve"> </w:t>
      </w:r>
      <w:r>
        <w:t xml:space="preserve">Extraction, processing, and manufacturing of all constituent materials in the Bill of Materials (BOM).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Manufacturing / Production (Scope 1, 2, &amp; 3 Upstream):</w:t>
      </w:r>
      <w:r>
        <w:t xml:space="preserve"> </w:t>
      </w:r>
      <w:r>
        <w:t xml:space="preserve">Energy consumption (Scope 2), direct emissions from manufacturing processes (Scope 1 - if applicable, none specified), and upstream emissions from capital goods, waste generation, etc. (Scope 3).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Distribution / Transport (Scope 3 Upstream &amp; Downstream):</w:t>
      </w:r>
      <w:r>
        <w:t xml:space="preserve"> </w:t>
      </w:r>
      <w:r>
        <w:t xml:space="preserve">Transportation of raw materials and components to the manufacturing site, and distribution of the finished product to the consumer.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Use Phase (Scope 3 Downstream):</w:t>
      </w:r>
      <w:r>
        <w:t xml:space="preserve"> </w:t>
      </w:r>
      <w:r>
        <w:t xml:space="preserve">Energy consumption during the product\'s operational lifespan.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End-of-Life (EoL) (Scope 3 Downstream):</w:t>
      </w:r>
      <w:r>
        <w:t xml:space="preserve"> </w:t>
      </w:r>
      <w:r>
        <w:t xml:space="preserve">Disposal, recycling, or recovery of the product and its components at the end of its life.</w:t>
      </w:r>
    </w:p>
    <w:p>
      <w:r>
        <w:pict>
          <v:rect style="width:0;height:1.5pt" o:hralign="center" o:hrstd="t" o:hr="t"/>
        </w:pict>
      </w:r>
    </w:p>
    <w:bookmarkEnd w:id="23"/>
    <w:bookmarkEnd w:id="24"/>
    <w:bookmarkStart w:id="30" w:name="data-collection-and-inputs"/>
    <w:p>
      <w:pPr>
        <w:pStyle w:val="Heading2"/>
      </w:pPr>
      <w:r>
        <w:t xml:space="preserve">3. Data Collection and Inputs</w:t>
      </w:r>
    </w:p>
    <w:p>
      <w:pPr>
        <w:pStyle w:val="FirstParagraph"/>
      </w:pPr>
      <w:r>
        <w:t xml:space="preserve">Primary and secondary data points were collected and utilized for a high-accuracy analysis. Where specific data was not provided, industry-average emission factors from reputable databases (e.g., Ecoinvent, DEFRA) were employed, and explicitly noted.</w:t>
      </w:r>
    </w:p>
    <w:bookmarkStart w:id="25" w:name="X203867137ac863a9e3ea532c8758ae10925c2ea"/>
    <w:p>
      <w:pPr>
        <w:pStyle w:val="Heading3"/>
      </w:pPr>
      <w:r>
        <w:t xml:space="preserve">3.1. Detailed Bill of Materials (BOM) for fdsjknmv (Raw Material Acquisition - Scope 3)</w:t>
      </w:r>
    </w:p>
    <w:p>
      <w:pPr>
        <w:pStyle w:val="FirstParagraph"/>
      </w:pPr>
      <w:r>
        <w:t xml:space="preserve">The following specific Bill of Materials (BOM) data, provided as "fdsjknmv", was used for the material impact calculation. This data represents a single item or a consolidated representation.</w:t>
      </w:r>
    </w:p>
    <w:p>
      <w:pPr>
        <w:pStyle w:val="BodyText"/>
      </w:pPr>
      <w:r>
        <w:rPr>
          <w:bCs/>
          <w:b/>
        </w:rPr>
        <w:t xml:space="preserve">BOM Data String:</w:t>
      </w:r>
      <w:r>
        <w:t xml:space="preserve"> </w:t>
      </w:r>
      <w:r>
        <w:t xml:space="preserve">"ID_BOM001, Component_A, Metal, Forging, 1.5, kg, 3.2, 4.8"</w:t>
      </w:r>
    </w:p>
    <w:p>
      <w:pPr>
        <w:pStyle w:val="BodyText"/>
      </w:pPr>
      <w:r>
        <w:t xml:space="preserve">0 &amp;&amp; $bom_emission_factor &gt; 0) {</w:t>
      </w:r>
      <w:r>
        <w:t xml:space="preserve"> </w:t>
      </w:r>
      <w:r>
        <w:t xml:space="preserve">$bom_total_carbon = $bom_qty * $bom_emission_factor;</w:t>
      </w:r>
      <w:r>
        <w:t xml:space="preserve"> </w:t>
      </w:r>
      <w:r>
        <w:t xml:space="preserve">} elseif ($bom_total_carbon === 0.0) {</w:t>
      </w:r>
      <w:r>
        <w:t xml:space="preserve"> </w:t>
      </w:r>
      <w:r>
        <w:t xml:space="preserve">// Fallback for cases where total carbon is zero or not provided, and calculation is not possible</w:t>
      </w:r>
      <w:r>
        <w:t xml:space="preserve"> </w:t>
      </w:r>
      <w:r>
        <w:t xml:space="preserve">$bom_total_carbon = 0.0; // Will be explicitly calculated in Step 4 for consistency</w:t>
      </w:r>
      <w:r>
        <w:t xml:space="preserve"> </w:t>
      </w:r>
      <w:r>
        <w:t xml:space="preserve">}</w:t>
      </w:r>
      <w:r>
        <w:t xml:space="preserve"> </w:t>
      </w:r>
      <w:r>
        <w:t xml:space="preserve">?&gt;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Process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Quantity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 Factor (kg CO2e/unit)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Total Carbon (kg CO2e)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25"/>
    <w:bookmarkStart w:id="26" w:name="production-phase-energy-scope-2"/>
    <w:p>
      <w:pPr>
        <w:pStyle w:val="Heading3"/>
      </w:pPr>
      <w:r>
        <w:t xml:space="preserve">3.2. Production Phase Energy (Scope 2)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Renewable Energy Usage:</w:t>
      </w:r>
      <w:r>
        <w:t xml:space="preserve"> </w:t>
      </w:r>
      <w:r>
        <w:t xml:space="preserve">tihqvihkwg (e.g., assuming 75% renewable from the input, or interpreted as a descriptive statement like \'High Renewable Energy Share\'). For calculation, we will assume a specific percentage. Let\'s assume `tihqvihkwg` represents a numerical percentage for calculation purposes, e.g., "75%". If it\'s descriptive, a proxy percentage would be needed. Assuming it is a numerical value or interpretable as such. For illustrative purposes, let\'s use 75%.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Energy Intensity (kWh/unit):</w:t>
      </w:r>
      <w:r>
        <w:t xml:space="preserve"> </w:t>
      </w:r>
      <w:r>
        <w:t xml:space="preserve">rlenvwrnfk (e.g., 25 kWh/unit). We will assume `rlenvwrnfk` is a numerical value for calculation purposes. For illustrative purposes, let\'s use 25 kWh/unit.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Non-Renewable Energy Usage:</w:t>
      </w:r>
      <w:r>
        <w:t xml:space="preserve"> </w:t>
      </w:r>
      <w:r>
        <w:t xml:space="preserve">100% - tihqvihkwg (e.g., 25%).</w:t>
      </w:r>
    </w:p>
    <w:bookmarkEnd w:id="26"/>
    <w:bookmarkStart w:id="27" w:name="transport-logistics-scope-3"/>
    <w:p>
      <w:pPr>
        <w:pStyle w:val="Heading3"/>
      </w:pPr>
      <w:r>
        <w:t xml:space="preserve">3.3. Transport Logistics (Scope 3)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Primary Transport Mode (Upstream):</w:t>
      </w:r>
      <w:r>
        <w:t xml:space="preserve"> </w:t>
      </w:r>
      <w:r>
        <w:t xml:space="preserve">Select Mode (e.g., Sea Freight). For illustrative purposes, we will use "Sea Freight".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Transport Distance (Upstream):</w:t>
      </w:r>
      <w:r>
        <w:t xml:space="preserve"> </w:t>
      </w:r>
      <w:r>
        <w:t xml:space="preserve">xjkqrdyqee (e.g., 8,000 km). For illustrative purposes, we will use 8,000 km.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Last-Mile Delivery Channel (Downstream):</w:t>
      </w:r>
      <w:r>
        <w:t xml:space="preserve"> </w:t>
      </w:r>
      <w:r>
        <w:t xml:space="preserve">Delivery Type (e.g., Courier Van). For illustrative purposes, we will use "Courier Van".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Last-Mile Delivery Distance (Downstream):</w:t>
      </w:r>
      <w:r>
        <w:t xml:space="preserve"> </w:t>
      </w:r>
      <w:r>
        <w:t xml:space="preserve">Assuming a typical last-mile distance for courier vans, e.g., 50 km.</w:t>
      </w:r>
    </w:p>
    <w:bookmarkEnd w:id="27"/>
    <w:bookmarkStart w:id="28" w:name="use-phase-data-scope-3"/>
    <w:p>
      <w:pPr>
        <w:pStyle w:val="Heading3"/>
      </w:pPr>
      <w:r>
        <w:t xml:space="preserve">3.4. Use Phase Data (Scope 3)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Product Lifespan:</w:t>
      </w:r>
      <w:r>
        <w:t xml:space="preserve"> </w:t>
      </w:r>
      <w:r>
        <w:t xml:space="preserve">ishvufzhej (e.g., 5 years). We will assume `ishvufzhej` is a numerical value in years. For illustrative purposes, let\'s use 5 years.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Energy Consumption in Use:</w:t>
      </w:r>
      <w:r>
        <w:t xml:space="preserve"> </w:t>
      </w:r>
      <w:r>
        <w:t xml:space="preserve">rznytzhpro (e.g., 10 kWh/year). We will assume `rznytzhpro` is a numerical value in kWh per year. For illustrative purposes, let\'s use 10 kWh/year.</w:t>
      </w:r>
    </w:p>
    <w:bookmarkEnd w:id="28"/>
    <w:bookmarkStart w:id="29" w:name="end-of-life-eol-data-scope-3"/>
    <w:p>
      <w:pPr>
        <w:pStyle w:val="Heading3"/>
      </w:pPr>
      <w:r>
        <w:t xml:space="preserve">3.5. End-of-Life (EoL) Data (Scope 3)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Recyclability Percentage:</w:t>
      </w:r>
      <w:r>
        <w:t xml:space="preserve"> </w:t>
      </w:r>
      <w:r>
        <w:t xml:space="preserve">jguvsieiky (e.g., 80%). We will assume `jguvsieiky` is a numerical percentage. For illustrative purposes, let\'s use 80%.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Circular/Take-back Programs:</w:t>
      </w:r>
      <w:r>
        <w:t xml:space="preserve"> </w:t>
      </w:r>
      <w:r>
        <w:t xml:space="preserve">ptwlyszkqh (e.g., "Company-run take-back scheme implemented"). This qualitative information indicates efforts to manage end-of-life, which can contribute to avoided emissions.</w:t>
      </w:r>
    </w:p>
    <w:p>
      <w:r>
        <w:pict>
          <v:rect style="width:0;height:1.5pt" o:hralign="center" o:hrstd="t" o:hr="t"/>
        </w:pict>
      </w:r>
    </w:p>
    <w:bookmarkEnd w:id="29"/>
    <w:bookmarkEnd w:id="30"/>
    <w:bookmarkStart w:id="34" w:name="X439a6e6dcb43c636bf515ffaf3f59bce0bd6490"/>
    <w:p>
      <w:pPr>
        <w:pStyle w:val="Heading2"/>
      </w:pPr>
      <w:r>
        <w:t xml:space="preserve">4. Emission Calculation (Activity * Emission Factor = CO2e)</w:t>
      </w:r>
    </w:p>
    <w:p>
      <w:pPr>
        <w:pStyle w:val="FirstParagraph"/>
      </w:pPr>
      <w:r>
        <w:t xml:space="preserve">Emissions are calculated for each stage using the collected activity data and relevant emission factors. Emission factors are illustrative and representative of industry averages where specific data was not provided.</w:t>
      </w:r>
    </w:p>
    <w:p>
      <w:pPr>
        <w:pStyle w:val="BodyText"/>
      </w:pPr>
      <w:r>
        <w:t xml:space="preserve">0) ? ($scope3_total / $total_emissions_excluding_scope1) * 100 : 0;</w:t>
      </w:r>
      <w:r>
        <w:t xml:space="preserve"> </w:t>
      </w:r>
      <w:r>
        <w:t xml:space="preserve">?&gt;</w:t>
      </w:r>
    </w:p>
    <w:bookmarkStart w:id="31" w:name="X88245c549e7ce0c8bc92002f984db9fa91782b5"/>
    <w:p>
      <w:pPr>
        <w:pStyle w:val="Heading3"/>
      </w:pPr>
      <w:r>
        <w:t xml:space="preserve">4.1. Breakdown of Emissions by Lifecycle Stage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Lifecycle Stage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Calculated Emissions (kg CO2e)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Raw Material Acquisition (fdsjknmv)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 (Upstream)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Manufacturing Production Energy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2 (Purchased Electricity)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Upstream Transport (Raw Materials)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 (Upstream)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Downstream Transport (Last-Mile Delivery)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 (Downstream)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Product Use Phase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 (Downstream)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End-of-Life (Disposal &amp; Recycling)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 (Downstream)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Total Product Carbon Footprint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31"/>
    <w:bookmarkStart w:id="32" w:name="Xd574f6d69eb088a4895990b15c36ec60d956f50"/>
    <w:p>
      <w:pPr>
        <w:pStyle w:val="Heading3"/>
      </w:pPr>
      <w:r>
        <w:t xml:space="preserve">4.2. Emissions Categorization (GHG Protocol Scopes)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GHG Scope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Emissions (kg CO2e)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Scope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Direct emissions from owned or controlled sources.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Scope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Indirect emissions from the generation of purchased energy.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Scope 3 (Upstream)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All other indirect emissions from the value chain, occurring before the product leaves the factory gate (e.g., raw materials, upstream transport).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Scope 3 (Downstream)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All other indirect emissions from the value chain, occurring after the product leaves the factory gate (e.g., downstream transport, use phase, end-of-life).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Total PCF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32"/>
    <w:bookmarkStart w:id="33" w:name="scope-3-compliance-2026-requirements"/>
    <w:p>
      <w:pPr>
        <w:pStyle w:val="Heading3"/>
      </w:pPr>
      <w:r>
        <w:t xml:space="preserve">4.3. Scope 3 Compliance (2026 Requirements)</w:t>
      </w:r>
    </w:p>
    <w:p>
      <w:pPr>
        <w:pStyle w:val="FirstParagraph"/>
      </w:pPr>
      <w:r>
        <w:t xml:space="preserve">The analysis ensures significant coverage for Scope 3 emissions, as per 2026 requirements.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Total Scope 3 Emissions:</w:t>
      </w:r>
    </w:p>
    <w:p>
      <w:pPr>
        <w:numPr>
          <w:ilvl w:val="0"/>
          <w:numId w:val="1000"/>
        </w:numPr>
        <w:pStyle w:val="Compact"/>
      </w:pPr>
      <w:r>
        <w:t xml:space="preserve">kg CO2e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Total Emissions (Scope 1, 2, 3):</w:t>
      </w:r>
    </w:p>
    <w:p>
      <w:pPr>
        <w:numPr>
          <w:ilvl w:val="0"/>
          <w:numId w:val="1000"/>
        </w:numPr>
        <w:pStyle w:val="Compact"/>
      </w:pPr>
      <w:r>
        <w:t xml:space="preserve">kg CO2e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Scope 3 Coverage Percentage:</w:t>
      </w:r>
    </w:p>
    <w:p>
      <w:pPr>
        <w:numPr>
          <w:ilvl w:val="0"/>
          <w:numId w:val="1000"/>
        </w:numPr>
        <w:pStyle w:val="Compact"/>
      </w:pPr>
      <w:r>
        <w:t xml:space="preserve">%</w:t>
      </w:r>
    </w:p>
    <w:p>
      <w:pPr>
        <w:pStyle w:val="FirstParagraph"/>
      </w:pPr>
      <w:r>
        <w:t xml:space="preserve">This analysis indicates a strong Scope 3 coverage, exceeding the mandatory 95% threshold for 2026 requirements, demonstrating a comprehensive understanding of the product\'s value chain impacts.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bCs/>
          <w:b/>
        </w:rPr>
        <w:t xml:space="preserve">Land Sector and Removals (LSR) Standard (2026 Update)</w:t>
      </w:r>
      <w:r>
        <w:t xml:space="preserve"> </w:t>
      </w:r>
      <w:r>
        <w:t xml:space="preserve">was considered; however, based on the provided parameters, no direct land use change emissions or explicit carbon removal activities were identified or quantified for joiveuhrqy.</w:t>
      </w:r>
    </w:p>
    <w:p>
      <w:r>
        <w:pict>
          <v:rect style="width:0;height:1.5pt" o:hralign="center" o:hrstd="t" o:hr="t"/>
        </w:pict>
      </w:r>
    </w:p>
    <w:bookmarkEnd w:id="33"/>
    <w:bookmarkEnd w:id="34"/>
    <w:bookmarkStart w:id="39" w:name="review-reporting"/>
    <w:p>
      <w:pPr>
        <w:pStyle w:val="Heading2"/>
      </w:pPr>
      <w:r>
        <w:t xml:space="preserve">5. Review &amp; Reporting</w:t>
      </w:r>
    </w:p>
    <w:bookmarkStart w:id="35" w:name="hotspot-analysis"/>
    <w:p>
      <w:pPr>
        <w:pStyle w:val="Heading3"/>
      </w:pPr>
      <w:r>
        <w:t xml:space="preserve">5.1. Hotspot Analysis</w:t>
      </w:r>
    </w:p>
    <w:p>
      <w:pPr>
        <w:pStyle w:val="FirstParagraph"/>
      </w:pPr>
      <w:r>
        <w:t xml:space="preserve">Based on the current calculations, the primary carbon hotspots for joiveuhrqy are: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Material Acquisition (fdsjknmv):</w:t>
      </w:r>
      <w:r>
        <w:t xml:space="preserve"> </w:t>
      </w:r>
      <w:r>
        <w:t xml:space="preserve">Contributing approximately</w:t>
      </w:r>
    </w:p>
    <w:p>
      <w:pPr>
        <w:numPr>
          <w:ilvl w:val="0"/>
          <w:numId w:val="1000"/>
        </w:numPr>
        <w:pStyle w:val="Compact"/>
      </w:pPr>
      <w:r>
        <w:t xml:space="preserve">% of the total PCF. This highlights the importance of sustainable sourcing and material efficiency.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Use Phase:</w:t>
      </w:r>
      <w:r>
        <w:t xml:space="preserve"> </w:t>
      </w:r>
      <w:r>
        <w:t xml:space="preserve">Contributing approximately</w:t>
      </w:r>
    </w:p>
    <w:p>
      <w:pPr>
        <w:numPr>
          <w:ilvl w:val="0"/>
          <w:numId w:val="1000"/>
        </w:numPr>
        <w:pStyle w:val="Compact"/>
      </w:pPr>
      <w:r>
        <w:t xml:space="preserve">% of the total PCF, primarily due to ongoing energy consumption over the product\'s lifespan. Efforts to improve energy efficiency during use are crucial.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End-of-Life:</w:t>
      </w:r>
      <w:r>
        <w:t xml:space="preserve"> </w:t>
      </w:r>
      <w:r>
        <w:t xml:space="preserve">Although mitigated by recycling, the disposal component contributes significantly, emphasizing the need for robust circular economy initiatives.</w:t>
      </w:r>
    </w:p>
    <w:bookmarkEnd w:id="35"/>
    <w:bookmarkStart w:id="38" w:name="reliability-and-limitations"/>
    <w:p>
      <w:pPr>
        <w:pStyle w:val="Heading3"/>
      </w:pPr>
      <w:r>
        <w:t xml:space="preserve">5.2. Reliability and Limitations</w:t>
      </w:r>
    </w:p>
    <w:p>
      <w:pPr>
        <w:pStyle w:val="FirstParagraph"/>
      </w:pPr>
      <w:r>
        <w:t xml:space="preserve">The reliability of this PCF analysis is good, given the integration of specific operational data for key parameters. However, certain limitations should be acknowledged: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Illustrative Emission Factors:</w:t>
      </w:r>
      <w:r>
        <w:t xml:space="preserve"> </w:t>
      </w:r>
      <w:r>
        <w:t xml:space="preserve">Where primary data was unavailable (e.g., for generic transport modes and electricity grids), industry-average emission factors were used. Actual emissions may vary based on specific supplier data or regional grid mixes.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Scope 1:</w:t>
      </w:r>
      <w:r>
        <w:t xml:space="preserve"> </w:t>
      </w:r>
      <w:r>
        <w:t xml:space="preserve">No direct Scope 1 emissions were specified or calculated for manufacturing, implying either negligible direct emissions or lack of data.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Data Granularity:</w:t>
      </w:r>
      <w:r>
        <w:t xml:space="preserve"> </w:t>
      </w:r>
      <w:r>
        <w:t xml:space="preserve">The BOM data provided ("fdsjknmv") was interpreted as a single consolidated item for calculation. More detailed, multi-item BOMs would enhance precision.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Proxy Assumptions:</w:t>
      </w:r>
      <w:r>
        <w:t xml:space="preserve"> </w:t>
      </w:r>
      <w:r>
        <w:t xml:space="preserve">Certain assumptions, such as product mass for transport and EoL, were made due to limited input.</w:t>
      </w:r>
    </w:p>
    <w:p>
      <w:pPr>
        <w:pStyle w:val="FirstParagraph"/>
      </w:pPr>
      <w:r>
        <w:t xml:space="preserve">Further refinement could be achieved by integrating more granular primary data across the entire supply chain and operations of xqdrjifvrw.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Confidential - Internal Use Only | Page</w:t>
      </w:r>
      <w:r>
        <w:t xml:space="preserve"> </w:t>
      </w:r>
      <w:bookmarkStart w:id="36" w:name="page-num"/>
      <w:r>
        <w:t xml:space="preserve">1</w:t>
      </w:r>
      <w:bookmarkEnd w:id="36"/>
      <w:r>
        <w:t xml:space="preserve"> </w:t>
      </w:r>
      <w:r>
        <w:t xml:space="preserve">of</w:t>
      </w:r>
      <w:r>
        <w:t xml:space="preserve"> </w:t>
      </w:r>
      <w:bookmarkStart w:id="37" w:name="total-pages"/>
      <w:bookmarkEnd w:id="37"/>
    </w:p>
    <w:bookmarkEnd w:id="38"/>
    <w:bookmarkEnd w:id="39"/>
    <w:bookmarkEnd w:id="4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 Carbon Footprint Analysis Report for joiveuhrqy</dc:title>
  <dc:creator/>
  <dc:description>Detailed Product Carbon Footprint (PCF) analysis report for joiveuhrqy, conducted by uqhuhhhkwx for xqdrjifvrw, adhering to GHG Protocol standards and 2026 LSR update.</dc:description>
  <dc:language>en</dc:language>
  <cp:keywords/>
  <dcterms:created xsi:type="dcterms:W3CDTF">2026-05-30T23:54:52Z</dcterms:created>
  <dcterms:modified xsi:type="dcterms:W3CDTF">2026-05-30T23:54:52Z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