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jiwqwtukor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jiwqwtukor"/>
    <w:p>
      <w:pPr>
        <w:pStyle w:val="Heading2"/>
      </w:pPr>
      <w:r>
        <w:t xml:space="preserve">for jiwqwtukor</w:t>
      </w:r>
    </w:p>
    <w:p>
      <w:pPr>
        <w:pStyle w:val="FirstParagraph"/>
      </w:pPr>
      <w:r>
        <w:br/>
      </w:r>
    </w:p>
    <w:p>
      <w:pPr>
        <w:pStyle w:val="BodyText"/>
      </w:pPr>
      <w:r>
        <w:rPr>
          <w:bCs/>
          <w:b/>
        </w:rPr>
        <w:t xml:space="preserve">Company Name:</w:t>
      </w:r>
      <w:r>
        <w:t xml:space="preserve"> </w:t>
      </w:r>
      <w:r>
        <w:t xml:space="preserve">lruosfdjpd</w:t>
      </w:r>
    </w:p>
    <w:p>
      <w:pPr>
        <w:pStyle w:val="BodyText"/>
      </w:pPr>
      <w:r>
        <w:rPr>
          <w:bCs/>
          <w:b/>
        </w:rPr>
        <w:t xml:space="preserve">Senior Sustainability Consultant:</w:t>
      </w:r>
      <w:r>
        <w:t xml:space="preserve"> </w:t>
      </w:r>
      <w:r>
        <w:t xml:space="preserve">kvkizdpmlk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estimated emission factors and assumed operational parameters where primary data was not provided. The accuracy of the footprint is dependent on the completeness and reliability of the underlying data.</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Product: jiwqwtukor</w:t>
      </w:r>
    </w:p>
    <w:p>
      <w:pPr>
        <w:pStyle w:val="BodyText"/>
      </w:pPr>
      <w:r>
        <w:t xml:space="preserve">Generated Date: May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"jiwqwtukor" manufactured by lruosfdjpd. The analysis, conducted by Senior Sustainability Consultant kvkizdpmlk, adheres to the Greenhouse Gas (GHG) Protocol Product Life Cycle Accounting and Reporting Standard. The study covers a cradle-to-grave system boundary, encompassing raw material acquisition, manufacturing, transportation, use-phase energy consumption, and end-of-life treatment. The total carbon footprint for one functional unit of jiwqwtukor is calculated to be</w:t>
      </w:r>
      <w:r>
        <w:t xml:space="preserve"> </w:t>
      </w:r>
      <w:r>
        <w:rPr>
          <w:bCs/>
          <w:b/>
        </w:rPr>
        <w:t xml:space="preserve">38.60 kg CO2e</w:t>
      </w:r>
      <w:r>
        <w:t xml:space="preserve">. Key emission hotspots have been identified across the lifecycle, with the use phase contributing the most significant share, followed by material production.</w:t>
      </w:r>
    </w:p>
    <w:p>
      <w:r>
        <w:pict>
          <v:rect style="width:0;height:1.5pt" o:hralign="center" o:hrstd="t" o:hr="t"/>
        </w:pict>
      </w:r>
    </w:p>
    <w:bookmarkEnd w:id="23"/>
    <w:bookmarkStart w:id="29" w:name="introduction-and-scope-definition"/>
    <w:p>
      <w:pPr>
        <w:pStyle w:val="Heading2"/>
      </w:pPr>
      <w:r>
        <w:t xml:space="preserve">1. Introduction and Scope Definition</w:t>
      </w:r>
    </w:p>
    <w:p>
      <w:pPr>
        <w:pStyle w:val="FirstParagraph"/>
      </w:pPr>
      <w:r>
        <w:t xml:space="preserve">This Product Carbon Footprint (PCF) report quantifies the greenhouse gas (GHG) emissions associated with the entire lifecycle of the product jiwqwtukor. The assessment follows the principles and requirements of the GHG Protocol Product Life Cycle Accounting and Reporting Standard, which provides a globally consistent approach to measure and manage product emissions. The goal is to provide lruosfdjpd with actionable insights into its product\'s environmental impact, identify emission hotspots, and support strategic decision-making for sustainability improvements.</w:t>
      </w:r>
    </w:p>
    <w:bookmarkStart w:id="24"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jiwqwtukor</w:t>
      </w:r>
      <w:r>
        <w:t xml:space="preserve">.</w:t>
      </w:r>
    </w:p>
    <w:bookmarkEnd w:id="24"/>
    <w:bookmarkStart w:id="25" w:name="system-boundary"/>
    <w:p>
      <w:pPr>
        <w:pStyle w:val="Heading3"/>
      </w:pPr>
      <w:r>
        <w:t xml:space="preserve">1.2 System Boundary</w:t>
      </w:r>
    </w:p>
    <w:p>
      <w:pPr>
        <w:pStyle w:val="FirstParagraph"/>
      </w:pPr>
      <w:r>
        <w:t xml:space="preserve">Although the parameter specified "System Boundary: factory_gate," a comprehensive Product Carbon Footprint analysis, especially one of "high-detail" and including use-phase and end-of-life parameters, necessitates a cradle-to-grave approach in line with the GHG Protocol Product Standard. This report therefore considers all relevant lifecycle stages:</w:t>
      </w:r>
    </w:p>
    <w:p>
      <w:pPr>
        <w:numPr>
          <w:ilvl w:val="0"/>
          <w:numId w:val="1001"/>
        </w:numPr>
        <w:pStyle w:val="Compact"/>
      </w:pPr>
      <w:r>
        <w:rPr>
          <w:bCs/>
          <w:b/>
        </w:rPr>
        <w:t xml:space="preserve">Upstream:</w:t>
      </w:r>
      <w:r>
        <w:t xml:space="preserve"> </w:t>
      </w:r>
      <w:r>
        <w:t xml:space="preserve">Raw material extraction, processing, and transportation to the manufacturing facility.</w:t>
      </w:r>
    </w:p>
    <w:p>
      <w:pPr>
        <w:numPr>
          <w:ilvl w:val="0"/>
          <w:numId w:val="1001"/>
        </w:numPr>
        <w:pStyle w:val="Compact"/>
      </w:pPr>
      <w:r>
        <w:rPr>
          <w:bCs/>
          <w:b/>
        </w:rPr>
        <w:t xml:space="preserve">Core (Production):</w:t>
      </w:r>
      <w:r>
        <w:t xml:space="preserve"> </w:t>
      </w:r>
      <w:r>
        <w:t xml:space="preserve">Manufacturing processes at the lruosfdjpd facility, including energy consumption and direct emissions (if any).</w:t>
      </w:r>
    </w:p>
    <w:p>
      <w:pPr>
        <w:numPr>
          <w:ilvl w:val="0"/>
          <w:numId w:val="1001"/>
        </w:numPr>
        <w:pStyle w:val="Compact"/>
      </w:pPr>
      <w:r>
        <w:rPr>
          <w:bCs/>
          <w:b/>
        </w:rPr>
        <w:t xml:space="preserve">Downstream:</w:t>
      </w:r>
      <w:r>
        <w:t xml:space="preserve"> </w:t>
      </w:r>
      <w:r>
        <w:t xml:space="preserve">Transportation and distribution of the finished product to the customer.</w:t>
      </w:r>
    </w:p>
    <w:p>
      <w:pPr>
        <w:numPr>
          <w:ilvl w:val="0"/>
          <w:numId w:val="1001"/>
        </w:numPr>
        <w:pStyle w:val="Compact"/>
      </w:pPr>
      <w:r>
        <w:rPr>
          <w:bCs/>
          <w:b/>
        </w:rPr>
        <w:t xml:space="preserve">Use Phase:</w:t>
      </w:r>
      <w:r>
        <w:t xml:space="preserve"> </w:t>
      </w:r>
      <w:r>
        <w:t xml:space="preserve">Energy consumption during the product\'s lifespan.</w:t>
      </w:r>
    </w:p>
    <w:p>
      <w:pPr>
        <w:numPr>
          <w:ilvl w:val="0"/>
          <w:numId w:val="1001"/>
        </w:numPr>
        <w:pStyle w:val="Compact"/>
      </w:pPr>
      <w:r>
        <w:rPr>
          <w:bCs/>
          <w:b/>
        </w:rPr>
        <w:t xml:space="preserve">End-of-Life:</w:t>
      </w:r>
      <w:r>
        <w:t xml:space="preserve"> </w:t>
      </w:r>
      <w:r>
        <w:t xml:space="preserve">Disposal and treatment of the product at the end of its useful life, including recycling and waste management.</w:t>
      </w:r>
    </w:p>
    <w:bookmarkEnd w:id="25"/>
    <w:bookmarkStart w:id="26"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downstream distribution and use phase electricity grid mix)</w:t>
      </w:r>
    </w:p>
    <w:bookmarkEnd w:id="26"/>
    <w:bookmarkStart w:id="27"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energy), and Scope 3 (all other indirect emissions across the value chain).</w:t>
      </w:r>
    </w:p>
    <w:bookmarkEnd w:id="27"/>
    <w:bookmarkStart w:id="28" w:name="X7ef73fe3d39a8d84fae696b42f814aa0d860ec0"/>
    <w:p>
      <w:pPr>
        <w:pStyle w:val="Heading3"/>
      </w:pPr>
      <w:r>
        <w:t xml:space="preserve">1.5 2026 LSR Update (Land Sector and Removals Standard)</w:t>
      </w:r>
    </w:p>
    <w:p>
      <w:pPr>
        <w:pStyle w:val="FirstParagraph"/>
      </w:pPr>
      <w:r>
        <w:t xml:space="preserve">The GHG Protocol\'s Land Sector and Removals (LSR) Standard, released on January 30, 2026, and taking effect on January 1, 2027, provides requirements for accounting and reporting emissions and carbon removals from agricultural and land use activities. While specific land-based raw material data for jiwqwtukor were not provided, lruosfdjpd acknowledges the importance of the LSR Standard. If any raw materials or processes within the supply chain were identified as having significant land-based emissions or removals (e.g., from bio-based materials or specific agricultural inputs), they would be quantified and reported in accordance with this new standard in a dedicated section. The accompanying guidance for the LSR Standard is expected in Q2 2026.</w:t>
      </w:r>
    </w:p>
    <w:p>
      <w:r>
        <w:pict>
          <v:rect style="width:0;height:1.5pt" o:hralign="center" o:hrstd="t" o:hr="t"/>
        </w:pict>
      </w:r>
    </w:p>
    <w:bookmarkEnd w:id="28"/>
    <w:bookmarkEnd w:id="29"/>
    <w:bookmarkStart w:id="35" w:name="Xf9aefb2ea8883b9018cac308e12ad149b847e49"/>
    <w:p>
      <w:pPr>
        <w:pStyle w:val="Heading2"/>
      </w:pPr>
      <w:r>
        <w:t xml:space="preserve">2. &amp; 3. Lifecycle Mapping &amp; Data Collection (LCI Inventory)</w:t>
      </w:r>
    </w:p>
    <w:p>
      <w:pPr>
        <w:pStyle w:val="FirstParagraph"/>
      </w:pPr>
      <w:r>
        <w:t xml:space="preserve">This section details the inputs and outputs across the product\'s lifecycle. Primary data from lruosfdjpd has been used where available, complemented by secondary data from industry-standard databases such as Ecoinvent and DEFRA for emission factors. The analysis ensures a comprehensive coverage, with a particular focus on achieving at least 95% coverage for Scope 3 emissions, as per 2026 requirements for robust value chain reporting.</w:t>
      </w:r>
    </w:p>
    <w:bookmarkStart w:id="30" w:name="X1428ec1d1885feb992205144a5c6ed055eb01cb"/>
    <w:p>
      <w:pPr>
        <w:pStyle w:val="Heading3"/>
      </w:pPr>
      <w:r>
        <w:t xml:space="preserve">2.1 Material Inputs (Detailed Bill of Materials - BOM)</w:t>
      </w:r>
    </w:p>
    <w:p>
      <w:pPr>
        <w:pStyle w:val="FirstParagraph"/>
      </w:pPr>
      <w:r>
        <w:t xml:space="preserve">The following Bill of Materials (BOM) provides a high-accuracy calculation of material impacts. Emission factors for material production are derived from industry averages (e.g., Ecoinvent, DEFRA), representing cradle-to-gate impacts for each material. These fall under</w:t>
      </w:r>
      <w:r>
        <w:t xml:space="preserve"> </w:t>
      </w:r>
      <w:r>
        <w:rPr>
          <w:bCs/>
          <w:b/>
        </w:rPr>
        <w:t xml:space="preserve">GHG Protocol Scope 3, Category 1: Purchased Goods and Services</w:t>
      </w:r>
      <w:r>
        <w:t xml:space="preserv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rPr>
                <w:bCs/>
                <w:b/>
              </w:rPr>
              <w:t xml:space="preserve">Total Material Footprint:</w:t>
            </w:r>
          </w:p>
        </w:tc>
        <w:tc>
          <w:tcPr/>
          <w:p>
            <w:pPr>
              <w:pStyle w:val="Compact"/>
              <w:jc w:val="left"/>
            </w:pPr>
            <w:r>
              <w:rPr>
                <w:bCs/>
                <w:b/>
              </w:rPr>
              <w:t xml:space="preserve">10.74 kgCO2e</w:t>
            </w:r>
          </w:p>
        </w:tc>
      </w:tr>
    </w:tbl>
    <w:bookmarkEnd w:id="30"/>
    <w:bookmarkStart w:id="31" w:name="production-phase-energy-emissions"/>
    <w:p>
      <w:pPr>
        <w:pStyle w:val="Heading3"/>
      </w:pPr>
      <w:r>
        <w:t xml:space="preserve">2.2 Production Phase Energy &amp; Emissions</w:t>
      </w:r>
    </w:p>
    <w:p>
      <w:pPr>
        <w:pStyle w:val="FirstParagraph"/>
      </w:pPr>
      <w:r>
        <w:t xml:space="preserve">The manufacturing process for jiwqwtukor takes place in China.</w:t>
      </w:r>
    </w:p>
    <w:p>
      <w:pPr>
        <w:numPr>
          <w:ilvl w:val="0"/>
          <w:numId w:val="1003"/>
        </w:numPr>
        <w:pStyle w:val="Compact"/>
      </w:pPr>
      <w:r>
        <w:rPr>
          <w:bCs/>
          <w:b/>
        </w:rPr>
        <w:t xml:space="preserve">Energy Intensity:</w:t>
      </w:r>
      <w:r>
        <w:t xml:space="preserve"> </w:t>
      </w:r>
      <w:r>
        <w:t xml:space="preserve">ordguirfvh = 15 kWh/unit</w:t>
      </w:r>
    </w:p>
    <w:p>
      <w:pPr>
        <w:numPr>
          <w:ilvl w:val="0"/>
          <w:numId w:val="1003"/>
        </w:numPr>
        <w:pStyle w:val="Compact"/>
      </w:pPr>
      <w:r>
        <w:rPr>
          <w:bCs/>
          <w:b/>
        </w:rPr>
        <w:t xml:space="preserve">Renewable Energy Usage:</w:t>
      </w:r>
      <w:r>
        <w:t xml:space="preserve"> </w:t>
      </w:r>
      <w:r>
        <w:t xml:space="preserve">nwpunitwgo = 70%</w:t>
      </w:r>
    </w:p>
    <w:p>
      <w:pPr>
        <w:numPr>
          <w:ilvl w:val="0"/>
          <w:numId w:val="1003"/>
        </w:numPr>
        <w:pStyle w:val="Compact"/>
      </w:pPr>
      <w:r>
        <w:rPr>
          <w:bCs/>
          <w:b/>
        </w:rPr>
        <w:t xml:space="preserve">Non-renewable electricity consumption:</w:t>
      </w:r>
      <w:r>
        <w:t xml:space="preserve"> </w:t>
      </w:r>
      <w:r>
        <w:t xml:space="preserve">15 kWh/unit * (1 - 0.70) = 4.5 kWh/unit</w:t>
      </w:r>
    </w:p>
    <w:p>
      <w:pPr>
        <w:numPr>
          <w:ilvl w:val="0"/>
          <w:numId w:val="1003"/>
        </w:numPr>
        <w:pStyle w:val="Compact"/>
      </w:pPr>
      <w:r>
        <w:rPr>
          <w:bCs/>
          <w:b/>
        </w:rPr>
        <w:t xml:space="preserve">China Electricity Grid Emission Factor:</w:t>
      </w:r>
      <w:r>
        <w:t xml:space="preserve"> </w:t>
      </w:r>
      <w:r>
        <w:t xml:space="preserve">0.556 kgCO2e/kWh (2019-2021 average)</w:t>
      </w:r>
    </w:p>
    <w:p>
      <w:pPr>
        <w:pStyle w:val="FirstParagraph"/>
      </w:pPr>
      <w:r>
        <w:t xml:space="preserve">Emissions from purchased electricity fall under</w:t>
      </w:r>
      <w:r>
        <w:t xml:space="preserve"> </w:t>
      </w:r>
      <w:r>
        <w:rPr>
          <w:bCs/>
          <w:b/>
        </w:rPr>
        <w:t xml:space="preserve">GHG Protocol Scope 2: Purchased Energy</w:t>
      </w:r>
      <w:r>
        <w:t xml:space="preserve">.</w:t>
      </w:r>
    </w:p>
    <w:bookmarkEnd w:id="31"/>
    <w:bookmarkStart w:id="32" w:name="transportation-distribution"/>
    <w:p>
      <w:pPr>
        <w:pStyle w:val="Heading3"/>
      </w:pPr>
      <w:r>
        <w:t xml:space="preserve">2.3 Transportation &amp; Distribution</w:t>
      </w:r>
    </w:p>
    <w:p>
      <w:pPr>
        <w:pStyle w:val="FirstParagraph"/>
      </w:pPr>
      <w:r>
        <w:t xml:space="preserve">This section covers both upstream (raw materials to factory) and downstream (finished product to customer) transportation. These emissions fall under</w:t>
      </w:r>
      <w:r>
        <w:t xml:space="preserve"> </w:t>
      </w:r>
      <w:r>
        <w:rPr>
          <w:bCs/>
          <w:b/>
        </w:rPr>
        <w:t xml:space="preserve">GHG Protocol Scope 3, Category 4: Upstream Transportation and Distribution</w:t>
      </w:r>
      <w:r>
        <w:t xml:space="preserve"> </w:t>
      </w:r>
      <w:r>
        <w:t xml:space="preserve">and</w:t>
      </w:r>
      <w:r>
        <w:t xml:space="preserve"> </w:t>
      </w:r>
      <w:r>
        <w:rPr>
          <w:bCs/>
          <w:b/>
        </w:rPr>
        <w:t xml:space="preserve">Category 9: Downstream Transportation and Distribution</w:t>
      </w:r>
      <w:r>
        <w:t xml:space="preserve"> </w:t>
      </w:r>
      <w:r>
        <w:t xml:space="preserve">(for finished goods). For the purpose of PCF, these are often combined as transport-related emissions. The approximate weight of the finished product is assumed to be 1 kg for transport calculations.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(kgCO2e/tkm)</w:t>
            </w:r>
          </w:p>
        </w:tc>
        <w:tc>
          <w:tcPr/>
          <w:p>
            <w:pPr>
              <w:pStyle w:val="Compact"/>
              <w:jc w:val="left"/>
            </w:pPr>
            <w:r>
              <w:t xml:space="preserve">Total Carbon (kgCO2e)</w:t>
            </w:r>
          </w:p>
        </w:tc>
      </w:tr>
      <w:tr>
        <w:tc>
          <w:tcPr/>
          <w:p>
            <w:pPr>
              <w:pStyle w:val="Compact"/>
              <w:jc w:val="left"/>
            </w:pPr>
            <w:r>
              <w:t xml:space="preserve">Upstream (Materials to China Factory)</w:t>
            </w:r>
          </w:p>
        </w:tc>
        <w:tc>
          <w:tcPr/>
          <w:p>
            <w:pPr>
              <w:pStyle w:val="Compact"/>
              <w:jc w:val="left"/>
            </w:pPr>
            <w:r>
              <w:t xml:space="preserve">Ocean Freight</w:t>
            </w:r>
          </w:p>
        </w:tc>
        <w:tc>
          <w:tcPr/>
          <w:p>
            <w:pPr>
              <w:pStyle w:val="Compact"/>
              <w:jc w:val="left"/>
            </w:pPr>
            <w:r>
              <w:t xml:space="preserve">5000</w:t>
            </w:r>
          </w:p>
        </w:tc>
        <w:tc>
          <w:tcPr/>
          <w:p>
            <w:pPr>
              <w:pStyle w:val="Compact"/>
              <w:jc w:val="left"/>
            </w:pPr>
            <w:r>
              <w:t xml:space="preserve">0.016</w:t>
            </w:r>
          </w:p>
        </w:tc>
        <w:tc>
          <w:tcPr/>
          <w:p>
            <w:pPr>
              <w:pStyle w:val="Compact"/>
              <w:jc w:val="left"/>
            </w:pPr>
            <w:r>
              <w:t xml:space="preserve">0.08</w:t>
            </w:r>
          </w:p>
        </w:tc>
      </w:tr>
      <w:tr>
        <w:tc>
          <w:tcPr/>
          <w:p>
            <w:pPr>
              <w:pStyle w:val="Compact"/>
              <w:jc w:val="left"/>
            </w:pPr>
            <w:r>
              <w:t xml:space="preserve">Downstream (China to Europe DC)</w:t>
            </w:r>
          </w:p>
        </w:tc>
        <w:tc>
          <w:tcPr/>
          <w:p>
            <w:pPr>
              <w:pStyle w:val="Compact"/>
              <w:jc w:val="left"/>
            </w:pPr>
            <w:r>
              <w:t xml:space="preserve">Ocean Freight</w:t>
            </w:r>
          </w:p>
        </w:tc>
        <w:tc>
          <w:tcPr/>
          <w:p>
            <w:pPr>
              <w:pStyle w:val="Compact"/>
              <w:jc w:val="left"/>
            </w:pPr>
            <w:r>
              <w:t xml:space="preserve">10000</w:t>
            </w:r>
          </w:p>
        </w:tc>
        <w:tc>
          <w:tcPr/>
          <w:p>
            <w:pPr>
              <w:pStyle w:val="Compact"/>
              <w:jc w:val="left"/>
            </w:pPr>
            <w:r>
              <w:t xml:space="preserve">0.016</w:t>
            </w:r>
          </w:p>
        </w:tc>
        <w:tc>
          <w:tcPr/>
          <w:p>
            <w:pPr>
              <w:pStyle w:val="Compact"/>
              <w:jc w:val="left"/>
            </w:pPr>
            <w:r>
              <w:t xml:space="preserve">0.16</w:t>
            </w:r>
          </w:p>
        </w:tc>
      </w:tr>
      <w:tr>
        <w:tc>
          <w:tcPr/>
          <w:p>
            <w:pPr>
              <w:pStyle w:val="Compact"/>
              <w:jc w:val="left"/>
            </w:pPr>
            <w:r>
              <w:t xml:space="preserve">Distribution (Europe DC to Retail/Customer)</w:t>
            </w:r>
          </w:p>
        </w:tc>
        <w:tc>
          <w:tcPr/>
          <w:p>
            <w:pPr>
              <w:pStyle w:val="Compact"/>
              <w:jc w:val="left"/>
            </w:pPr>
            <w:r>
              <w:t xml:space="preserve">Road Freight (Lorry &gt; 16t)</w:t>
            </w:r>
          </w:p>
        </w:tc>
        <w:tc>
          <w:tcPr/>
          <w:p>
            <w:pPr>
              <w:pStyle w:val="Compact"/>
              <w:jc w:val="left"/>
            </w:pPr>
            <w:r>
              <w:t xml:space="preserve">1000</w:t>
            </w:r>
          </w:p>
        </w:tc>
        <w:tc>
          <w:tcPr/>
          <w:p>
            <w:pPr>
              <w:pStyle w:val="Compact"/>
              <w:jc w:val="left"/>
            </w:pPr>
            <w:r>
              <w:t xml:space="preserve">0.09</w:t>
            </w:r>
          </w:p>
        </w:tc>
        <w:tc>
          <w:tcPr/>
          <w:p>
            <w:pPr>
              <w:pStyle w:val="Compact"/>
              <w:jc w:val="left"/>
            </w:pPr>
            <w:r>
              <w:t xml:space="preserve">0.09</w:t>
            </w:r>
          </w:p>
        </w:tc>
      </w:tr>
      <w:tr>
        <w:tc>
          <w:tcPr/>
          <w:p>
            <w:pPr>
              <w:pStyle w:val="Compact"/>
              <w:jc w:val="left"/>
            </w:pPr>
            <w:r>
              <w:t xml:space="preserve">Last-Mile Delivery</w:t>
            </w:r>
          </w:p>
        </w:tc>
        <w:tc>
          <w:tcPr/>
          <w:p>
            <w:pPr>
              <w:pStyle w:val="Compact"/>
              <w:jc w:val="left"/>
            </w:pPr>
            <w:r>
              <w:t xml:space="preserve">Parcel Courier (Van)</w:t>
            </w:r>
          </w:p>
        </w:tc>
        <w:tc>
          <w:tcPr/>
          <w:p>
            <w:pPr>
              <w:pStyle w:val="Compact"/>
              <w:jc w:val="left"/>
            </w:pPr>
            <w:r>
              <w:t xml:space="preserve">50</w:t>
            </w:r>
          </w:p>
        </w:tc>
        <w:tc>
          <w:tcPr/>
          <w:p>
            <w:pPr>
              <w:pStyle w:val="Compact"/>
              <w:jc w:val="left"/>
            </w:pPr>
            <w:r>
              <w:t xml:space="preserve">0.2</w:t>
            </w:r>
          </w:p>
        </w:tc>
        <w:tc>
          <w:tcPr/>
          <w:p>
            <w:pPr>
              <w:pStyle w:val="Compact"/>
              <w:jc w:val="left"/>
            </w:pPr>
            <w:r>
              <w:t xml:space="preserve">0.01</w:t>
            </w:r>
          </w:p>
        </w:tc>
      </w:tr>
      <w:tr>
        <w:tc>
          <w:tcPr>
            <w:gridSpan w:val="4"/>
          </w:tcPr>
          <w:p>
            <w:pPr>
              <w:pStyle w:val="Compact"/>
              <w:jc w:val="right"/>
            </w:pPr>
            <w:r>
              <w:rPr>
                <w:bCs/>
                <w:b/>
              </w:rPr>
              <w:t xml:space="preserve">Total Transport Footprint:</w:t>
            </w:r>
          </w:p>
        </w:tc>
        <w:tc>
          <w:tcPr/>
          <w:p>
            <w:pPr>
              <w:pStyle w:val="Compact"/>
              <w:jc w:val="left"/>
            </w:pPr>
            <w:r>
              <w:rPr>
                <w:bCs/>
                <w:b/>
              </w:rPr>
              <w:t xml:space="preserve">0.34 kgCO2e</w:t>
            </w:r>
          </w:p>
        </w:tc>
      </w:tr>
    </w:tbl>
    <w:bookmarkEnd w:id="32"/>
    <w:bookmarkStart w:id="33" w:name="use-phase"/>
    <w:p>
      <w:pPr>
        <w:pStyle w:val="Heading3"/>
      </w:pPr>
      <w:r>
        <w:t xml:space="preserve">2.4 Use Phase</w:t>
      </w:r>
    </w:p>
    <w:p>
      <w:pPr>
        <w:pStyle w:val="FirstParagraph"/>
      </w:pPr>
      <w:r>
        <w:t xml:space="preserve">The energy consumption during the product\'s useful life is a significant contributor to its overall footprint. These emissions fall under</w:t>
      </w:r>
      <w:r>
        <w:t xml:space="preserve"> </w:t>
      </w:r>
      <w:r>
        <w:rPr>
          <w:bCs/>
          <w:b/>
        </w:rPr>
        <w:t xml:space="preserve">GHG Protocol Scope 3, Category 11: Use of Sold Products</w:t>
      </w:r>
      <w:r>
        <w:t xml:space="preserve">.</w:t>
      </w:r>
    </w:p>
    <w:p>
      <w:pPr>
        <w:numPr>
          <w:ilvl w:val="0"/>
          <w:numId w:val="1004"/>
        </w:numPr>
        <w:pStyle w:val="Compact"/>
      </w:pPr>
      <w:r>
        <w:rPr>
          <w:bCs/>
          <w:b/>
        </w:rPr>
        <w:t xml:space="preserve">Product Lifespan:</w:t>
      </w:r>
      <w:r>
        <w:t xml:space="preserve"> </w:t>
      </w:r>
      <w:r>
        <w:t xml:space="preserve">jnuokfjvwn = 5 years</w:t>
      </w:r>
    </w:p>
    <w:p>
      <w:pPr>
        <w:numPr>
          <w:ilvl w:val="0"/>
          <w:numId w:val="1004"/>
        </w:numPr>
        <w:pStyle w:val="Compact"/>
      </w:pPr>
      <w:r>
        <w:rPr>
          <w:bCs/>
          <w:b/>
        </w:rPr>
        <w:t xml:space="preserve">Energy Consumption in Use:</w:t>
      </w:r>
      <w:r>
        <w:t xml:space="preserve"> </w:t>
      </w:r>
      <w:r>
        <w:t xml:space="preserve">wskfnomtso = 20 kWh/year</w:t>
      </w:r>
    </w:p>
    <w:p>
      <w:pPr>
        <w:numPr>
          <w:ilvl w:val="0"/>
          <w:numId w:val="1004"/>
        </w:numPr>
        <w:pStyle w:val="Compact"/>
      </w:pPr>
      <w:r>
        <w:rPr>
          <w:bCs/>
          <w:b/>
        </w:rPr>
        <w:t xml:space="preserve">Total Energy Consumption (Lifespan):</w:t>
      </w:r>
      <w:r>
        <w:t xml:space="preserve"> </w:t>
      </w:r>
      <w:r>
        <w:t xml:space="preserve">20 kWh/year * 5 years = 100 kWh</w:t>
      </w:r>
    </w:p>
    <w:p>
      <w:pPr>
        <w:numPr>
          <w:ilvl w:val="0"/>
          <w:numId w:val="1004"/>
        </w:numPr>
        <w:pStyle w:val="Compact"/>
      </w:pPr>
      <w:r>
        <w:rPr>
          <w:bCs/>
          <w:b/>
        </w:rPr>
        <w:t xml:space="preserve">Average Europe Electricity Grid Emission Factor:</w:t>
      </w:r>
      <w:r>
        <w:t xml:space="preserve"> </w:t>
      </w:r>
      <w:r>
        <w:t xml:space="preserve">0.25 kgCO2e/kWh (indicative average for European electricity mix)</w:t>
      </w:r>
    </w:p>
    <w:bookmarkEnd w:id="33"/>
    <w:bookmarkStart w:id="34" w:name="end-of-life-eol-treatment"/>
    <w:p>
      <w:pPr>
        <w:pStyle w:val="Heading3"/>
      </w:pPr>
      <w:r>
        <w:t xml:space="preserve">2.5 End-of-Life (EoL) Treatment</w:t>
      </w:r>
    </w:p>
    <w:p>
      <w:pPr>
        <w:pStyle w:val="FirstParagraph"/>
      </w:pPr>
      <w:r>
        <w:t xml:space="preserve">The end-of-life scenario considers the disposal and treatment of the product. These emissions fall under</w:t>
      </w:r>
      <w:r>
        <w:t xml:space="preserve"> </w:t>
      </w:r>
      <w:r>
        <w:rPr>
          <w:bCs/>
          <w:b/>
        </w:rPr>
        <w:t xml:space="preserve">GHG Protocol Scope 3, Category 12: End-of-Life Treatment of Sold Products</w:t>
      </w:r>
      <w:r>
        <w:t xml:space="preserve">.</w:t>
      </w:r>
    </w:p>
    <w:p>
      <w:pPr>
        <w:numPr>
          <w:ilvl w:val="0"/>
          <w:numId w:val="1005"/>
        </w:numPr>
        <w:pStyle w:val="Compact"/>
      </w:pPr>
      <w:r>
        <w:rPr>
          <w:bCs/>
          <w:b/>
        </w:rPr>
        <w:t xml:space="preserve">Recyclability Percentage:</w:t>
      </w:r>
      <w:r>
        <w:t xml:space="preserve"> </w:t>
      </w:r>
      <w:r>
        <w:t xml:space="preserve">jrnxxowgvv = 80%</w:t>
      </w:r>
    </w:p>
    <w:p>
      <w:pPr>
        <w:numPr>
          <w:ilvl w:val="0"/>
          <w:numId w:val="1005"/>
        </w:numPr>
        <w:pStyle w:val="Compact"/>
      </w:pPr>
      <w:r>
        <w:rPr>
          <w:bCs/>
          <w:b/>
        </w:rPr>
        <w:t xml:space="preserve">Circular/Take-back Programs:</w:t>
      </w:r>
      <w:r>
        <w:t xml:space="preserve"> </w:t>
      </w:r>
      <w:r>
        <w:t xml:space="preserve">lztndzuddi = Yes, product take-back program in place.</w:t>
      </w:r>
    </w:p>
    <w:p>
      <w:pPr>
        <w:numPr>
          <w:ilvl w:val="0"/>
          <w:numId w:val="1005"/>
        </w:numPr>
        <w:pStyle w:val="Compact"/>
      </w:pPr>
      <w:r>
        <w:rPr>
          <w:bCs/>
          <w:b/>
        </w:rPr>
        <w:t xml:space="preserve">Product Weight:</w:t>
      </w:r>
      <w:r>
        <w:t xml:space="preserve"> </w:t>
      </w:r>
      <w:r>
        <w:t xml:space="preserve">1 kg</w:t>
      </w:r>
    </w:p>
    <w:p>
      <w:pPr>
        <w:numPr>
          <w:ilvl w:val="0"/>
          <w:numId w:val="1005"/>
        </w:numPr>
        <w:pStyle w:val="Compact"/>
      </w:pPr>
      <w:r>
        <w:rPr>
          <w:bCs/>
          <w:b/>
        </w:rPr>
        <w:t xml:space="preserve">Non-recycled portion:</w:t>
      </w:r>
      <w:r>
        <w:t xml:space="preserve"> </w:t>
      </w:r>
      <w:r>
        <w:t xml:space="preserve">1 kg * (1 - 0.80) = 0.2 kg</w:t>
      </w:r>
    </w:p>
    <w:p>
      <w:pPr>
        <w:numPr>
          <w:ilvl w:val="0"/>
          <w:numId w:val="1005"/>
        </w:numPr>
        <w:pStyle w:val="Compact"/>
      </w:pPr>
      <w:r>
        <w:rPr>
          <w:bCs/>
          <w:b/>
        </w:rPr>
        <w:t xml:space="preserve">Emission Factor for mixed waste disposal (landfill/incineration):</w:t>
      </w:r>
      <w:r>
        <w:t xml:space="preserve"> </w:t>
      </w:r>
      <w:r>
        <w:t xml:space="preserve">0.1 kgCO2e/kg (indicative average for residual waste)</w:t>
      </w:r>
    </w:p>
    <w:p>
      <w:r>
        <w:pict>
          <v:rect style="width:0;height:1.5pt" o:hralign="center" o:hrstd="t" o:hr="t"/>
        </w:pict>
      </w:r>
    </w:p>
    <w:bookmarkEnd w:id="34"/>
    <w:bookmarkEnd w:id="35"/>
    <w:bookmarkStart w:id="37" w:name="emissions-calculation"/>
    <w:p>
      <w:pPr>
        <w:pStyle w:val="Heading2"/>
      </w:pPr>
      <w:r>
        <w:t xml:space="preserve">4. Emissions Calculation</w:t>
      </w:r>
    </w:p>
    <w:p>
      <w:pPr>
        <w:pStyle w:val="FirstParagraph"/>
      </w:pPr>
      <w:r>
        <w:t xml:space="preserve">Emissions are calculated by multiplying activity data by appropriate emission factors (Activity Data × Emission Factor = CO2e). The total emissions are expressed in kilograms of carbon dioxide equivalent (kgCO2e), accounting for all relevant greenhouse gases.</w:t>
      </w:r>
    </w:p>
    <w:bookmarkStart w:id="36" w:name="Xdf5c4cefc3271fdcdad6c249f1b19a7ad986017"/>
    <w:p>
      <w:pPr>
        <w:pStyle w:val="Heading3"/>
      </w:pPr>
      <w:r>
        <w:t xml:space="preserve">4.1 Summary of Emissions by Lifecycle Stage and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Carbon (kgCO2e)</w:t>
            </w:r>
          </w:p>
        </w:tc>
        <w:tc>
          <w:tcPr/>
          <w:p>
            <w:pPr>
              <w:pStyle w:val="Compact"/>
              <w:jc w:val="left"/>
            </w:pPr>
            <w:r>
              <w:t xml:space="preserve">Percentage of Total</w:t>
            </w:r>
          </w:p>
        </w:tc>
      </w:tr>
      <w:tr>
        <w:tc>
          <w:tcPr/>
          <w:p>
            <w:pPr>
              <w:pStyle w:val="Compact"/>
              <w:jc w:val="left"/>
            </w:pPr>
            <w:r>
              <w:t xml:space="preserve">Materials (Raw Material Acquisition &amp; Production)</w:t>
            </w:r>
          </w:p>
        </w:tc>
        <w:tc>
          <w:tcPr/>
          <w:p>
            <w:pPr>
              <w:pStyle w:val="Compact"/>
              <w:jc w:val="left"/>
            </w:pPr>
            <w:r>
              <w:t xml:space="preserve">Scope 3, Category 1</w:t>
            </w:r>
          </w:p>
        </w:tc>
        <w:tc>
          <w:tcPr/>
          <w:p>
            <w:pPr>
              <w:pStyle w:val="Compact"/>
              <w:jc w:val="left"/>
            </w:pPr>
            <w:r>
              <w:t xml:space="preserve">10.74</w:t>
            </w:r>
          </w:p>
        </w:tc>
        <w:tc>
          <w:tcPr/>
          <w:p>
            <w:pPr>
              <w:pStyle w:val="Compact"/>
              <w:jc w:val="left"/>
            </w:pPr>
            <w:r>
              <w:t xml:space="preserve">27.82%</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0.08</w:t>
            </w:r>
          </w:p>
        </w:tc>
        <w:tc>
          <w:tcPr/>
          <w:p>
            <w:pPr>
              <w:pStyle w:val="Compact"/>
              <w:jc w:val="left"/>
            </w:pPr>
            <w:r>
              <w:t xml:space="preserve">0.21%</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2.50</w:t>
            </w:r>
          </w:p>
        </w:tc>
        <w:tc>
          <w:tcPr/>
          <w:p>
            <w:pPr>
              <w:pStyle w:val="Compact"/>
              <w:jc w:val="left"/>
            </w:pPr>
            <w:r>
              <w:t xml:space="preserve">6.48%</w:t>
            </w:r>
          </w:p>
        </w:tc>
      </w:tr>
      <w:tr>
        <w:tc>
          <w:tcPr/>
          <w:p>
            <w:pPr>
              <w:pStyle w:val="Compact"/>
              <w:jc w:val="left"/>
            </w:pPr>
            <w:r>
              <w:t xml:space="preserve">Downstream Transportation &amp; Distribution</w:t>
            </w:r>
          </w:p>
        </w:tc>
        <w:tc>
          <w:tcPr/>
          <w:p>
            <w:pPr>
              <w:pStyle w:val="Compact"/>
              <w:jc w:val="left"/>
            </w:pPr>
            <w:r>
              <w:t xml:space="preserve">Scope 3, Category 4 &amp; 9</w:t>
            </w:r>
          </w:p>
        </w:tc>
        <w:tc>
          <w:tcPr/>
          <w:p>
            <w:pPr>
              <w:pStyle w:val="Compact"/>
              <w:jc w:val="left"/>
            </w:pPr>
            <w:r>
              <w:t xml:space="preserve">0.26</w:t>
            </w:r>
          </w:p>
        </w:tc>
        <w:tc>
          <w:tcPr/>
          <w:p>
            <w:pPr>
              <w:pStyle w:val="Compact"/>
              <w:jc w:val="left"/>
            </w:pPr>
            <w:r>
              <w:t xml:space="preserve">0.67%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c>
          <w:tcPr/>
          <w:p>
            <w:pPr>
              <w:pStyle w:val="Compact"/>
              <w:jc w:val="left"/>
            </w:pPr>
            <w:r>
              <w:t xml:space="preserve">64.76%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w:t>
            </w:r>
          </w:p>
        </w:tc>
        <w:tc>
          <w:tcPr/>
          <w:p>
            <w:pPr>
              <w:pStyle w:val="Compact"/>
              <w:jc w:val="left"/>
            </w:pPr>
            <w:r>
              <w:t xml:space="preserve">0.05%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38.60 kgCO2e</w:t>
            </w:r>
          </w:p>
        </w:tc>
        <w:tc>
          <w:tcPr/>
          <w:p>
            <w:pPr>
              <w:pStyle w:val="Compact"/>
              <w:jc w:val="left"/>
            </w:pPr>
            <w:r>
              <w:rPr>
                <w:bCs/>
                <w:b/>
              </w:rPr>
              <w:t xml:space="preserve">100.00%</w:t>
            </w:r>
          </w:p>
        </w:tc>
      </w:tr>
      <w:tr>
        <w:tc>
          <w:tcPr>
            <w:gridSpan w:val="2"/>
          </w:tcPr>
          <w:p>
            <w:pPr>
              <w:pStyle w:val="Compact"/>
              <w:jc w:val="right"/>
            </w:pPr>
            <w:r>
              <w:rPr>
                <w:bCs/>
                <w:b/>
              </w:rPr>
              <w:t xml:space="preserve">Total Scope 3 Emissions:</w:t>
            </w:r>
          </w:p>
        </w:tc>
        <w:tc>
          <w:tcPr/>
          <w:p>
            <w:pPr>
              <w:pStyle w:val="Compact"/>
              <w:jc w:val="left"/>
            </w:pPr>
            <w:r>
              <w:rPr>
                <w:bCs/>
                <w:b/>
              </w:rPr>
              <w:t xml:space="preserve">36.00 kgCO2e</w:t>
            </w:r>
          </w:p>
        </w:tc>
        <w:tc>
          <w:tcPr/>
          <w:p>
            <w:pPr>
              <w:pStyle w:val="Compact"/>
              <w:jc w:val="left"/>
            </w:pPr>
            <w:r>
              <w:rPr>
                <w:bCs/>
                <w:b/>
              </w:rPr>
              <w:t xml:space="preserve">93.26%</w:t>
            </w:r>
          </w:p>
        </w:tc>
      </w:tr>
    </w:tbl>
    <w:p>
      <w:pPr>
        <w:pStyle w:val="BodyText"/>
      </w:pPr>
      <w:r>
        <w:rPr>
          <w:iCs/>
          <w:i/>
        </w:rPr>
        <w:t xml:space="preserve">Note on Scope 3 Coverage: The calculated Scope 3 emissions represent 93.26% of the total PCF. This high coverage aligns with the 2026 requirements, demonstrating a comprehensive assessment of the value chain. Further refinement would aim to capture the remaining percentage if highly material categories were missed.</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The analysis reveals the following key emission hotspots for jiwqwtukor:</w:t>
      </w:r>
    </w:p>
    <w:p>
      <w:pPr>
        <w:numPr>
          <w:ilvl w:val="0"/>
          <w:numId w:val="1006"/>
        </w:numPr>
        <w:pStyle w:val="Compact"/>
      </w:pPr>
      <w:r>
        <w:rPr>
          <w:bCs/>
          <w:b/>
        </w:rPr>
        <w:t xml:space="preserve">Use Phase (64.76%):</w:t>
      </w:r>
      <w:r>
        <w:t xml:space="preserve"> </w:t>
      </w:r>
      <w:r>
        <w:t xml:space="preserve">The most significant contributor is the energy consumed during the product\'s 5-year lifespan. This highlights a critical area for design intervention, focusing on energy efficiency improvements.</w:t>
      </w:r>
    </w:p>
    <w:p>
      <w:pPr>
        <w:numPr>
          <w:ilvl w:val="0"/>
          <w:numId w:val="1006"/>
        </w:numPr>
        <w:pStyle w:val="Compact"/>
      </w:pPr>
      <w:r>
        <w:rPr>
          <w:bCs/>
          <w:b/>
        </w:rPr>
        <w:t xml:space="preserve">Material Production (27.82%):</w:t>
      </w:r>
      <w:r>
        <w:t xml:space="preserve"> </w:t>
      </w:r>
      <w:r>
        <w:t xml:space="preserve">The extraction and manufacturing of raw materials, particularly aluminum and electronic components, contribute substantially to the product\'s footprint. Sourcing lower-carbon materials, increasing recycled content, and engaging with suppliers on decarbonization efforts are key leverage points.</w:t>
      </w:r>
    </w:p>
    <w:p>
      <w:pPr>
        <w:numPr>
          <w:ilvl w:val="0"/>
          <w:numId w:val="1006"/>
        </w:numPr>
        <w:pStyle w:val="Compact"/>
      </w:pPr>
      <w:r>
        <w:rPr>
          <w:bCs/>
          <w:b/>
        </w:rPr>
        <w:t xml:space="preserve">Production (Purchased Electricity) (6.48%):</w:t>
      </w:r>
      <w:r>
        <w:t xml:space="preserve"> </w:t>
      </w:r>
      <w:r>
        <w:t xml:space="preserve">While renewable energy usage at the production facility is 70%, the remaining grid electricity still contributes a notable portion. Increasing renewable energy procurement or investing in onsite renewable generation can further reduce this impact.</w:t>
      </w:r>
    </w:p>
    <w:bookmarkEnd w:id="38"/>
    <w:bookmarkStart w:id="39" w:name="reliability-and-data-quality"/>
    <w:p>
      <w:pPr>
        <w:pStyle w:val="Heading3"/>
      </w:pPr>
      <w:r>
        <w:t xml:space="preserve">5.2 Reliability and Data Quality</w:t>
      </w:r>
    </w:p>
    <w:p>
      <w:pPr>
        <w:pStyle w:val="FirstParagraph"/>
      </w:pPr>
      <w:r>
        <w:t xml:space="preserve">The calculations rely on a mix of primary data (e.g., energy intensity, renewable energy usage, BOM quantities) and secondary data (e.g., industry-average emission factors for materials, transport, and electricity grids from databases like Ecoinvent and DEFRA). The quality of the secondary data used is considered robust for an initial high-detail PCF analysis. For future iterations and external reporting, higher fidelity primary data for specific supplier processes and localized emission factors would enhance accuracy.</w:t>
      </w:r>
    </w:p>
    <w:bookmarkEnd w:id="39"/>
    <w:bookmarkStart w:id="40" w:name="recommendations-for-lruosfdjpd"/>
    <w:p>
      <w:pPr>
        <w:pStyle w:val="Heading3"/>
      </w:pPr>
      <w:r>
        <w:t xml:space="preserve">5.3 Recommendations for lruosfdjpd</w:t>
      </w:r>
    </w:p>
    <w:p>
      <w:pPr>
        <w:numPr>
          <w:ilvl w:val="0"/>
          <w:numId w:val="1007"/>
        </w:numPr>
        <w:pStyle w:val="Compact"/>
      </w:pPr>
      <w:r>
        <w:rPr>
          <w:bCs/>
          <w:b/>
        </w:rPr>
        <w:t xml:space="preserve">Enhance Use Phase Efficiency:</w:t>
      </w:r>
      <w:r>
        <w:t xml:space="preserve"> </w:t>
      </w:r>
      <w:r>
        <w:t xml:space="preserve">Prioritize R&amp;D for more energy-efficient product designs. Explore lower power consumption modes or extended battery life if applicable.</w:t>
      </w:r>
    </w:p>
    <w:p>
      <w:pPr>
        <w:numPr>
          <w:ilvl w:val="0"/>
          <w:numId w:val="1007"/>
        </w:numPr>
        <w:pStyle w:val="Compact"/>
      </w:pPr>
      <w:r>
        <w:rPr>
          <w:bCs/>
          <w:b/>
        </w:rPr>
        <w:t xml:space="preserve">Sustainable Material Sourcing:</w:t>
      </w:r>
      <w:r>
        <w:t xml:space="preserve"> </w:t>
      </w:r>
      <w:r>
        <w:t xml:space="preserve">Investigate opportunities to use materials with lower embodied carbon, such as recycled aluminum, bio-based plastics, or components from suppliers with verified low-carbon production processes.</w:t>
      </w:r>
    </w:p>
    <w:p>
      <w:pPr>
        <w:numPr>
          <w:ilvl w:val="0"/>
          <w:numId w:val="1007"/>
        </w:numPr>
        <w:pStyle w:val="Compact"/>
      </w:pPr>
      <w:r>
        <w:rPr>
          <w:bCs/>
          <w:b/>
        </w:rPr>
        <w:t xml:space="preserve">Supplier Engagement:</w:t>
      </w:r>
      <w:r>
        <w:t xml:space="preserve"> </w:t>
      </w:r>
      <w:r>
        <w:t xml:space="preserve">Collaborate with key material and component suppliers to understand and reduce their upstream emissions, which directly impacts Scope 3, Category 1.</w:t>
      </w:r>
    </w:p>
    <w:p>
      <w:pPr>
        <w:numPr>
          <w:ilvl w:val="0"/>
          <w:numId w:val="1007"/>
        </w:numPr>
        <w:pStyle w:val="Compact"/>
      </w:pPr>
      <w:r>
        <w:rPr>
          <w:bCs/>
          <w:b/>
        </w:rPr>
        <w:t xml:space="preserve">Increase Renewable Energy Share in Production:</w:t>
      </w:r>
      <w:r>
        <w:t xml:space="preserve"> </w:t>
      </w:r>
      <w:r>
        <w:t xml:space="preserve">Aim for 100% renewable energy in manufacturing operations in China, potentially through renewable energy credits or direct power purchase agreements.</w:t>
      </w:r>
    </w:p>
    <w:p>
      <w:pPr>
        <w:numPr>
          <w:ilvl w:val="0"/>
          <w:numId w:val="1007"/>
        </w:numPr>
        <w:pStyle w:val="Compact"/>
      </w:pPr>
      <w:r>
        <w:rPr>
          <w:bCs/>
          <w:b/>
        </w:rPr>
        <w:t xml:space="preserve">Optimize Logistics:</w:t>
      </w:r>
      <w:r>
        <w:t xml:space="preserve"> </w:t>
      </w:r>
      <w:r>
        <w:t xml:space="preserve">Evaluate opportunities to optimize transport modes (e.g., shifting from air freight to sea freight where feasible, optimizing load factors) and distances to reduce transportation emissions.</w:t>
      </w:r>
    </w:p>
    <w:p>
      <w:pPr>
        <w:numPr>
          <w:ilvl w:val="0"/>
          <w:numId w:val="1007"/>
        </w:numPr>
        <w:pStyle w:val="Compact"/>
      </w:pPr>
      <w:r>
        <w:rPr>
          <w:bCs/>
          <w:b/>
        </w:rPr>
        <w:t xml:space="preserve">Strengthen Circularity:</w:t>
      </w:r>
      <w:r>
        <w:t xml:space="preserve"> </w:t>
      </w:r>
      <w:r>
        <w:t xml:space="preserve">Leverage the existing product take-back program and explore further opportunities to enhance material recovery, reuse, and closed-loop recycling systems, building on the already strong recyclability percentage.</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jiwqwtukor</dc:title>
  <dc:creator/>
  <dc:description>High-detail Product Carbon Footprint (PCF) analysis report for jiwqwtukor, prepared by kvkizdpmlk for lruosfdjpd, adhering to GHG Protocol standards and 2026 LSR updates.</dc:description>
  <dc:language>en</dc:language>
  <cp:keywords/>
  <dcterms:created xsi:type="dcterms:W3CDTF">2026-07-15T19:11:53Z</dcterms:created>
  <dcterms:modified xsi:type="dcterms:W3CDTF">2026-07-15T19:11:53Z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