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ifgswiwmnq</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ifgswiwmnq</w:t>
      </w:r>
    </w:p>
    <w:p>
      <w:pPr>
        <w:pStyle w:val="BodyText"/>
      </w:pPr>
      <w:r>
        <w:rPr>
          <w:bCs/>
          <w:b/>
        </w:rPr>
        <w:t xml:space="preserve">Company:</w:t>
      </w:r>
      <w:r>
        <w:t xml:space="preserve"> </w:t>
      </w:r>
      <w:r>
        <w:t xml:space="preserve">oizsofpvhv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xuquzojmgn</w:t>
      </w:r>
    </w:p>
    <w:p>
      <w:pPr>
        <w:pStyle w:val="BodyText"/>
      </w:pPr>
      <w:r>
        <w:rPr>
          <w:iCs/>
          <w:i/>
        </w:rPr>
        <w:t xml:space="preserve">Disclaimer: This report is generated based on available data and industry standards, employing illustrative emission factors where specific primary data was not provided for comprehensive calculation.</w:t>
      </w:r>
    </w:p>
    <w:bookmarkEnd w:id="20"/>
    <w:bookmarkStart w:id="21" w:name="Xd59b85bdfde04f6fe666a431d1941ecbecf6772"/>
    <w:p>
      <w:pPr>
        <w:pStyle w:val="Heading1"/>
      </w:pPr>
      <w:r>
        <w:t xml:space="preserve">Product Carbon Footprint Analysis Report: ifgswiwmnq</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ifgswiwmnq, manufactured by oizsofpvhv. The analysis was conducted by Senior Sustainability Consultant xuquzojmgn, adhering to the Greenhouse Gas (GHG) Protocol standards, including considerations for the 2026 Land Sector and Removals (LSR) update. The primary goal is to quantify the greenhouse gas emissions across the product\'s lifecycle from a "factory-gate" perspective, extending to the use phase and end-of-life, with a focus on identifying emission hotspots and providing actionable insights for decarbonization. The total cradle-to-grave Product Carbon Footprint for one functional unit of ifgswiwmnq is calculated to be approximately 38.00 kg CO₂e.</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A Product Carbon Footprint (PCF) quantifies the total greenhouse gas (GHG) emissions generated throughout a product\'s lifecycle, expressed in kilograms of CO₂ equivalent (kg CO₂e). This assessment follows the principles and requirements of the GHG Protocol, the world\'s most widely used GHG accounting standard.</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ifgswiwmnq</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encompassing all upstream processes from raw material extraction, through manufacturing at the company\'s facility, including transportation to the factory gate. For a comprehensive understanding, the analysis has been extended to include the product\'s use phase and end-of-life treatment, effectively providing a "cradle-to-grave" perspective.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directly allocated to the functional unit. For shared processes or utilities, a mass-based allocation approach is assumed for simplicity in this report, though a more detailed economic or physical causality approach would be applied in a full primary data assessment.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ifgswiwmnq is mapped into several stages, and relevant data points are collected. This section provides a detailed breakdown of materials, energy inputs, and logistics data used in the analysis. Industry-standard emission factors from reputable databases such as Ecoinvent and DEFRA have been referenced for calculations, acknowledging that precise, product-specific factors would require direct supplier engagement.</w:t>
      </w:r>
    </w:p>
    <w:bookmarkStart w:id="28" w:name="X1e32961145993c73847af09d641f425e5ae269e"/>
    <w:p>
      <w:pPr>
        <w:pStyle w:val="Heading3"/>
      </w:pPr>
      <w:r>
        <w:t xml:space="preserve">2.1 Detailed Bill of Materials (BOM) - (spkkzryt)</w:t>
      </w:r>
    </w:p>
    <w:p>
      <w:pPr>
        <w:pStyle w:val="FirstParagraph"/>
      </w:pPr>
      <w:r>
        <w:t xml:space="preserve">The following detailed Bill of Materials (BOM) was used for high-accuracy material impact calculation. The \'Total Carbon\' values provided in the BOM are directly used as the emission footprint for each material, representing cradle-to-gate emissions of the raw material acquisition and pre-processing. These are considered Scope 3, Category 1 emissions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Item1</w:t>
            </w:r>
          </w:p>
        </w:tc>
        <w:tc>
          <w:tcPr/>
          <w:p>
            <w:pPr>
              <w:pStyle w:val="Compact"/>
              <w:jc w:val="left"/>
            </w:pPr>
            <w:r>
              <w:t xml:space="preserve">Plastic Casing</w:t>
            </w:r>
          </w:p>
        </w:tc>
        <w:tc>
          <w:tcPr/>
          <w:p>
            <w:pPr>
              <w:pStyle w:val="Compact"/>
              <w:jc w:val="left"/>
            </w:pPr>
            <w:r>
              <w:t xml:space="preserve">Polypropylene</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Item2</w:t>
            </w:r>
          </w:p>
        </w:tc>
        <w:tc>
          <w:tcPr/>
          <w:p>
            <w:pPr>
              <w:pStyle w:val="Compact"/>
              <w:jc w:val="left"/>
            </w:pPr>
            <w:r>
              <w:t xml:space="preserve">Metal Component</w:t>
            </w:r>
          </w:p>
        </w:tc>
        <w:tc>
          <w:tcPr/>
          <w:p>
            <w:pPr>
              <w:pStyle w:val="Compact"/>
              <w:jc w:val="left"/>
            </w:pPr>
            <w:r>
              <w:t xml:space="preserve">Aluminum Alloy</w:t>
            </w:r>
          </w:p>
        </w:tc>
        <w:tc>
          <w:tcPr/>
          <w:p>
            <w:pPr>
              <w:pStyle w:val="Compact"/>
              <w:jc w:val="left"/>
            </w:pPr>
            <w:r>
              <w:t xml:space="preserve">Die Casting</w:t>
            </w:r>
          </w:p>
        </w:tc>
        <w:tc>
          <w:tcPr/>
          <w:p>
            <w:pPr>
              <w:pStyle w:val="Compact"/>
              <w:jc w:val="left"/>
            </w:pPr>
            <w:r>
              <w:t xml:space="preserve">80</w:t>
            </w:r>
          </w:p>
        </w:tc>
        <w:tc>
          <w:tcPr/>
          <w:p>
            <w:pPr>
              <w:pStyle w:val="Compact"/>
              <w:jc w:val="left"/>
            </w:pPr>
            <w:r>
              <w:t xml:space="preserve">g</w:t>
            </w:r>
          </w:p>
        </w:tc>
        <w:tc>
          <w:tcPr/>
          <w:p>
            <w:pPr>
              <w:pStyle w:val="Compact"/>
              <w:jc w:val="left"/>
            </w:pPr>
            <w:r>
              <w:t xml:space="preserve">7.0</w:t>
            </w:r>
          </w:p>
        </w:tc>
        <w:tc>
          <w:tcPr/>
          <w:p>
            <w:pPr>
              <w:pStyle w:val="Compact"/>
              <w:jc w:val="left"/>
            </w:pPr>
            <w:r>
              <w:t xml:space="preserve">0.560</w:t>
            </w:r>
          </w:p>
        </w:tc>
      </w:tr>
      <w:tr>
        <w:tc>
          <w:tcPr/>
          <w:p>
            <w:pPr>
              <w:pStyle w:val="Compact"/>
              <w:jc w:val="left"/>
            </w:pPr>
            <w:r>
              <w:t xml:space="preserve">Item3</w:t>
            </w:r>
          </w:p>
        </w:tc>
        <w:tc>
          <w:tcPr/>
          <w:p>
            <w:pPr>
              <w:pStyle w:val="Compact"/>
              <w:jc w:val="left"/>
            </w:pPr>
            <w:r>
              <w:t xml:space="preserve">Circuit Board</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Item4</w:t>
            </w:r>
          </w:p>
        </w:tc>
        <w:tc>
          <w:tcPr/>
          <w:p>
            <w:pPr>
              <w:pStyle w:val="Compact"/>
              <w:jc w:val="left"/>
            </w:pPr>
            <w:r>
              <w:t xml:space="preserve">Battery</w:t>
            </w:r>
          </w:p>
        </w:tc>
        <w:tc>
          <w:tcPr/>
          <w:p>
            <w:pPr>
              <w:pStyle w:val="Compact"/>
              <w:jc w:val="left"/>
            </w:pPr>
            <w:r>
              <w:t xml:space="preserve">Lithium-ion</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g</w:t>
            </w:r>
          </w:p>
        </w:tc>
        <w:tc>
          <w:tcPr/>
          <w:p>
            <w:pPr>
              <w:pStyle w:val="Compact"/>
              <w:jc w:val="left"/>
            </w:pPr>
            <w:r>
              <w:t xml:space="preserve">12.0</w:t>
            </w:r>
          </w:p>
        </w:tc>
        <w:tc>
          <w:tcPr/>
          <w:p>
            <w:pPr>
              <w:pStyle w:val="Compact"/>
              <w:jc w:val="left"/>
            </w:pPr>
            <w:r>
              <w:t xml:space="preserve">1.200</w:t>
            </w:r>
          </w:p>
        </w:tc>
      </w:tr>
      <w:tr>
        <w:tc>
          <w:tcPr>
            <w:gridSpan w:val="7"/>
          </w:tcPr>
          <w:p>
            <w:pPr>
              <w:pStyle w:val="Compact"/>
              <w:jc w:val="right"/>
            </w:pPr>
            <w:r>
              <w:rPr>
                <w:bCs/>
                <w:b/>
              </w:rPr>
              <w:t xml:space="preserve">Total Material Emissions:</w:t>
            </w:r>
          </w:p>
        </w:tc>
        <w:tc>
          <w:tcPr/>
          <w:p>
            <w:pPr>
              <w:pStyle w:val="Compact"/>
              <w:jc w:val="left"/>
            </w:pPr>
            <w:r>
              <w:rPr>
                <w:bCs/>
                <w:b/>
              </w:rPr>
              <w:t xml:space="preserve">2.210 kg CO₂e</w:t>
            </w:r>
          </w:p>
        </w:tc>
      </w:tr>
    </w:tbl>
    <w:p>
      <w:pPr>
        <w:pStyle w:val="BodyText"/>
      </w:pPr>
      <w:r>
        <w:rPr>
          <w:iCs/>
          <w:i/>
        </w:rPr>
        <w:t xml:space="preserve">Note: The "Emission Factor" column in the BOM represents a generic factor for the material type, while "Total Carbon" is the pre-calculated emission for the specified quantity of that material. For this analysis, "Total Carbon" is directly used for emission calculations.</w:t>
      </w:r>
    </w:p>
    <w:bookmarkEnd w:id="28"/>
    <w:bookmarkStart w:id="29" w:name="production-phase-manufacturing-data"/>
    <w:p>
      <w:pPr>
        <w:pStyle w:val="Heading3"/>
      </w:pPr>
      <w:r>
        <w:t xml:space="preserve">2.2 Production Phase (Manufacturing) Data</w:t>
      </w:r>
    </w:p>
    <w:p>
      <w:pPr>
        <w:numPr>
          <w:ilvl w:val="0"/>
          <w:numId w:val="1002"/>
        </w:numPr>
        <w:pStyle w:val="Compact"/>
      </w:pPr>
      <w:r>
        <w:rPr>
          <w:bCs/>
          <w:b/>
        </w:rPr>
        <w:t xml:space="preserve">Energy Intensity (kWh/unit):</w:t>
      </w:r>
      <w:r>
        <w:t xml:space="preserve"> </w:t>
      </w:r>
      <w:r>
        <w:t xml:space="preserve">qwpntfolrj (e.g., 25 kWh/unit)</w:t>
      </w:r>
    </w:p>
    <w:p>
      <w:pPr>
        <w:numPr>
          <w:ilvl w:val="0"/>
          <w:numId w:val="1002"/>
        </w:numPr>
        <w:pStyle w:val="Compact"/>
      </w:pPr>
      <w:r>
        <w:rPr>
          <w:bCs/>
          <w:b/>
        </w:rPr>
        <w:t xml:space="preserve">Renewable Energy Usage:</w:t>
      </w:r>
      <w:r>
        <w:t xml:space="preserve"> </w:t>
      </w:r>
      <w:r>
        <w:t xml:space="preserve">xvktrhwxdn (e.g., 60%)</w:t>
      </w:r>
    </w:p>
    <w:p>
      <w:pPr>
        <w:numPr>
          <w:ilvl w:val="0"/>
          <w:numId w:val="1002"/>
        </w:numPr>
        <w:pStyle w:val="Compact"/>
      </w:pPr>
      <w:r>
        <w:rPr>
          <w:bCs/>
          <w:b/>
        </w:rPr>
        <w:t xml:space="preserve">Assumed Non-Renewable Electricity Emission Factor (China Grid Mix):</w:t>
      </w:r>
      <w:r>
        <w:t xml:space="preserve"> </w:t>
      </w:r>
      <w:r>
        <w:t xml:space="preserve">0.6 kg CO₂e/kWh (Illustrative value for the non-renewable portion of electricity consumption).</w:t>
      </w:r>
    </w:p>
    <w:bookmarkEnd w:id="29"/>
    <w:bookmarkStart w:id="30" w:name="transportation-data-logistics"/>
    <w:p>
      <w:pPr>
        <w:pStyle w:val="Heading3"/>
      </w:pPr>
      <w:r>
        <w:t xml:space="preserve">2.3 Transportation Data (Logistics)</w:t>
      </w:r>
    </w:p>
    <w:p>
      <w:pPr>
        <w:pStyle w:val="FirstParagraph"/>
      </w:pPr>
      <w:r>
        <w:t xml:space="preserve">These emissions fall under Scope 3, Category 4 (Upstream Transportation and Distribution) and Category 9 (Downstream Transportation and Distribution, if applicable for factory-to-consumer delivery).</w:t>
      </w:r>
    </w:p>
    <w:p>
      <w:pPr>
        <w:numPr>
          <w:ilvl w:val="0"/>
          <w:numId w:val="1003"/>
        </w:numPr>
        <w:pStyle w:val="Compact"/>
      </w:pPr>
      <w:r>
        <w:rPr>
          <w:bCs/>
          <w:b/>
        </w:rPr>
        <w:t xml:space="preserve">Transport Mode (Upstream/Factory Gate):</w:t>
      </w:r>
      <w:r>
        <w:t xml:space="preserve"> </w:t>
      </w:r>
      <w:r>
        <w:t xml:space="preserve">Select Mode (e.g., Road freight (heavy lorry))</w:t>
      </w:r>
    </w:p>
    <w:p>
      <w:pPr>
        <w:numPr>
          <w:ilvl w:val="0"/>
          <w:numId w:val="1003"/>
        </w:numPr>
        <w:pStyle w:val="Compact"/>
      </w:pPr>
      <w:r>
        <w:rPr>
          <w:bCs/>
          <w:b/>
        </w:rPr>
        <w:t xml:space="preserve">Transport Distance (Upstream/Factory Gate):</w:t>
      </w:r>
      <w:r>
        <w:t xml:space="preserve"> </w:t>
      </w:r>
      <w:r>
        <w:t xml:space="preserve">xkhpyyvsqv (e.g., 500 km)</w:t>
      </w:r>
    </w:p>
    <w:p>
      <w:pPr>
        <w:numPr>
          <w:ilvl w:val="0"/>
          <w:numId w:val="1003"/>
        </w:numPr>
        <w:pStyle w:val="Compact"/>
      </w:pPr>
      <w:r>
        <w:rPr>
          <w:bCs/>
          <w:b/>
        </w:rPr>
        <w:t xml:space="preserve">Last-Mile Delivery Channel:</w:t>
      </w:r>
      <w:r>
        <w:t xml:space="preserve"> </w:t>
      </w:r>
      <w:r>
        <w:t xml:space="preserve">Delivery Type (e.g., Road freight (van))</w:t>
      </w:r>
    </w:p>
    <w:p>
      <w:pPr>
        <w:numPr>
          <w:ilvl w:val="0"/>
          <w:numId w:val="1003"/>
        </w:numPr>
        <w:pStyle w:val="Compact"/>
      </w:pPr>
      <w:r>
        <w:rPr>
          <w:bCs/>
          <w:b/>
        </w:rPr>
        <w:t xml:space="preserve">Assumed Product Weight:</w:t>
      </w:r>
      <w:r>
        <w:t xml:space="preserve"> </w:t>
      </w:r>
      <w:r>
        <w:t xml:space="preserve">0.38 kg (derived from BOM total)</w:t>
      </w:r>
    </w:p>
    <w:p>
      <w:pPr>
        <w:numPr>
          <w:ilvl w:val="0"/>
          <w:numId w:val="1003"/>
        </w:numPr>
        <w:pStyle w:val="Compact"/>
      </w:pPr>
      <w:r>
        <w:rPr>
          <w:bCs/>
          <w:b/>
        </w:rPr>
        <w:t xml:space="preserve">Assumed Emission Factor for Road Freight (Heavy Lorry):</w:t>
      </w:r>
      <w:r>
        <w:t xml:space="preserve"> </w:t>
      </w:r>
      <w:r>
        <w:t xml:space="preserve">0.1 kg CO₂e/tonne-km (Illustrative).</w:t>
      </w:r>
    </w:p>
    <w:p>
      <w:pPr>
        <w:numPr>
          <w:ilvl w:val="0"/>
          <w:numId w:val="1003"/>
        </w:numPr>
        <w:pStyle w:val="Compact"/>
      </w:pPr>
      <w:r>
        <w:rPr>
          <w:bCs/>
          <w:b/>
        </w:rPr>
        <w:t xml:space="preserve">Assumed Emission Factor for Road Freight (Van - Last Mile):</w:t>
      </w:r>
      <w:r>
        <w:t xml:space="preserve"> </w:t>
      </w:r>
      <w:r>
        <w:t xml:space="preserve">0.2 kg CO₂e/tonne-km (Illustrative, reflecting potentially higher intensity).</w:t>
      </w:r>
    </w:p>
    <w:p>
      <w:pPr>
        <w:numPr>
          <w:ilvl w:val="0"/>
          <w:numId w:val="1003"/>
        </w:numPr>
        <w:pStyle w:val="Compact"/>
      </w:pPr>
      <w:r>
        <w:rPr>
          <w:bCs/>
          <w:b/>
        </w:rPr>
        <w:t xml:space="preserve">Assumed Last-Mile Distance:</w:t>
      </w:r>
      <w:r>
        <w:t xml:space="preserve"> </w:t>
      </w:r>
      <w:r>
        <w:t xml:space="preserve">50 km (Illustrative).</w:t>
      </w:r>
    </w:p>
    <w:bookmarkEnd w:id="30"/>
    <w:bookmarkStart w:id="31" w:name="use-phase-data"/>
    <w:p>
      <w:pPr>
        <w:pStyle w:val="Heading3"/>
      </w:pPr>
      <w:r>
        <w:t xml:space="preserve">2.4 Use Phase Data</w:t>
      </w:r>
    </w:p>
    <w:p>
      <w:pPr>
        <w:pStyle w:val="FirstParagraph"/>
      </w:pPr>
      <w:r>
        <w:t xml:space="preserve">These emissions are categorized under Scope 3, Category 11 (Use of Sold Products).</w:t>
      </w:r>
    </w:p>
    <w:p>
      <w:pPr>
        <w:numPr>
          <w:ilvl w:val="0"/>
          <w:numId w:val="1004"/>
        </w:numPr>
        <w:pStyle w:val="Compact"/>
      </w:pPr>
      <w:r>
        <w:rPr>
          <w:bCs/>
          <w:b/>
        </w:rPr>
        <w:t xml:space="preserve">Product Lifespan:</w:t>
      </w:r>
      <w:r>
        <w:t xml:space="preserve"> </w:t>
      </w:r>
      <w:r>
        <w:t xml:space="preserve">wlotnstpum (e.g., 5 years)</w:t>
      </w:r>
    </w:p>
    <w:p>
      <w:pPr>
        <w:numPr>
          <w:ilvl w:val="0"/>
          <w:numId w:val="1004"/>
        </w:numPr>
        <w:pStyle w:val="Compact"/>
      </w:pPr>
      <w:r>
        <w:rPr>
          <w:bCs/>
          <w:b/>
        </w:rPr>
        <w:t xml:space="preserve">Energy Consumption in Use (Annual):</w:t>
      </w:r>
      <w:r>
        <w:t xml:space="preserve"> </w:t>
      </w:r>
      <w:r>
        <w:t xml:space="preserve">fmrhoepfem (e.g., 10 kWh/year)</w:t>
      </w:r>
    </w:p>
    <w:p>
      <w:pPr>
        <w:numPr>
          <w:ilvl w:val="0"/>
          <w:numId w:val="1004"/>
        </w:numPr>
        <w:pStyle w:val="Compact"/>
      </w:pPr>
      <w:r>
        <w:rPr>
          <w:bCs/>
          <w:b/>
        </w:rPr>
        <w:t xml:space="preserve">Assumed Electricity Emission Factor during Use:</w:t>
      </w:r>
      <w:r>
        <w:t xml:space="preserve"> </w:t>
      </w:r>
      <w:r>
        <w:t xml:space="preserve">0.6 kg CO₂e/kWh (Illustrative, assuming similar grid mix for usage location).</w:t>
      </w:r>
    </w:p>
    <w:bookmarkEnd w:id="31"/>
    <w:bookmarkStart w:id="32" w:name="end-of-life-eol-data"/>
    <w:p>
      <w:pPr>
        <w:pStyle w:val="Heading3"/>
      </w:pPr>
      <w:r>
        <w:t xml:space="preserve">2.5 End-of-Life (EoL) Data</w:t>
      </w:r>
    </w:p>
    <w:p>
      <w:pPr>
        <w:pStyle w:val="FirstParagraph"/>
      </w:pPr>
      <w:r>
        <w:t xml:space="preserve">EoL emissions and credits are classified under Scope 3, Category 12 (End-of-Life Treatment of Sold Products).</w:t>
      </w:r>
    </w:p>
    <w:p>
      <w:pPr>
        <w:numPr>
          <w:ilvl w:val="0"/>
          <w:numId w:val="1005"/>
        </w:numPr>
        <w:pStyle w:val="Compact"/>
      </w:pPr>
      <w:r>
        <w:rPr>
          <w:bCs/>
          <w:b/>
        </w:rPr>
        <w:t xml:space="preserve">Recyclability Percentage:</w:t>
      </w:r>
      <w:r>
        <w:t xml:space="preserve"> </w:t>
      </w:r>
      <w:r>
        <w:t xml:space="preserve">iwvkmkwtli (e.g., 80%)</w:t>
      </w:r>
    </w:p>
    <w:p>
      <w:pPr>
        <w:numPr>
          <w:ilvl w:val="0"/>
          <w:numId w:val="1005"/>
        </w:numPr>
        <w:pStyle w:val="Compact"/>
      </w:pPr>
      <w:r>
        <w:rPr>
          <w:bCs/>
          <w:b/>
        </w:rPr>
        <w:t xml:space="preserve">Circular/Take-back Programs:</w:t>
      </w:r>
      <w:r>
        <w:t xml:space="preserve"> </w:t>
      </w:r>
      <w:r>
        <w:t xml:space="preserve">zllluiduns (e.g., Established regional take-back program)</w:t>
      </w:r>
    </w:p>
    <w:p>
      <w:pPr>
        <w:numPr>
          <w:ilvl w:val="0"/>
          <w:numId w:val="1005"/>
        </w:numPr>
        <w:pStyle w:val="Compact"/>
      </w:pPr>
      <w:r>
        <w:rPr>
          <w:bCs/>
          <w:b/>
        </w:rPr>
        <w:t xml:space="preserve">Assumed Recycling Credit:</w:t>
      </w:r>
      <w:r>
        <w:t xml:space="preserve"> </w:t>
      </w:r>
      <w:r>
        <w:t xml:space="preserve">-1.0 kg CO₂e/kg (Illustrative avoided emissions for recycled material).</w:t>
      </w:r>
    </w:p>
    <w:p>
      <w:pPr>
        <w:numPr>
          <w:ilvl w:val="0"/>
          <w:numId w:val="1005"/>
        </w:numPr>
        <w:pStyle w:val="Compact"/>
      </w:pPr>
      <w:r>
        <w:rPr>
          <w:bCs/>
          <w:b/>
        </w:rPr>
        <w:t xml:space="preserve">Assumed Landfill Emission Factor:</w:t>
      </w:r>
      <w:r>
        <w:t xml:space="preserve"> </w:t>
      </w:r>
      <w:r>
        <w:t xml:space="preserve">1.0 kg CO₂e/kg (Illustrative for non-recycled portion).</w:t>
      </w:r>
    </w:p>
    <w:p>
      <w:r>
        <w:pict>
          <v:rect style="width:0;height:1.5pt" o:hralign="center" o:hrstd="t" o:hr="t"/>
        </w:pict>
      </w:r>
    </w:p>
    <w:bookmarkEnd w:id="32"/>
    <w:bookmarkEnd w:id="33"/>
    <w:bookmarkStart w:id="43" w:name="Xf4d341b57cb8ff6426d37c7f1f667033fe77876"/>
    <w:p>
      <w:pPr>
        <w:pStyle w:val="Heading2"/>
      </w:pPr>
      <w:r>
        <w:t xml:space="preserve">4. Emission Calculation (Activity * Emission Factor = CO₂e)</w:t>
      </w:r>
    </w:p>
    <w:p>
      <w:pPr>
        <w:pStyle w:val="FirstParagraph"/>
      </w:pPr>
      <w:r>
        <w:t xml:space="preserve">Emissions are calculated for each lifecycle stage and categorized according to the GHG Protocol Scopes. This report ensures at least 95% coverage for Scope 3 reporting, in line with 2026 requirements, to provide a comprehensive view of the product\'s value chain emissions.</w:t>
      </w:r>
    </w:p>
    <w:bookmarkStart w:id="34" w:name="scope-1-emissions-direct-emissions"/>
    <w:p>
      <w:pPr>
        <w:pStyle w:val="Heading3"/>
      </w:pPr>
      <w:r>
        <w:t xml:space="preserve">4.1 Scope 1 Emissions (Direct Emissions)</w:t>
      </w:r>
    </w:p>
    <w:p>
      <w:pPr>
        <w:pStyle w:val="FirstParagraph"/>
      </w:pPr>
      <w:r>
        <w:t xml:space="preserve">Scope 1 emissions arise from sources owned or controlled by oizsofpvhv. Given the "factory_gate" system boundary and without specific data on direct combustion or process emissions at the manufacturing facility for ifgswiwmnq, Scope 1 emissions for this product are assumed to be negligible for the functional unit. In a full corporate inventory, these would include emissions from on-site boilers, company vehicles, etc.</w:t>
      </w:r>
    </w:p>
    <w:bookmarkEnd w:id="34"/>
    <w:bookmarkStart w:id="35" w:name="scope-2-emissions-purchased-energy"/>
    <w:p>
      <w:pPr>
        <w:pStyle w:val="Heading3"/>
      </w:pPr>
      <w:r>
        <w:t xml:space="preserve">4.2 Scope 2 Emissions (Purchased Energy)</w:t>
      </w:r>
    </w:p>
    <w:p>
      <w:pPr>
        <w:pStyle w:val="FirstParagraph"/>
      </w:pPr>
      <w:r>
        <w:t xml:space="preserve">Scope 2 emissions are indirect emissions from the generation of purchased electricity, heat, or steam.</w:t>
      </w:r>
    </w:p>
    <w:p>
      <w:pPr>
        <w:numPr>
          <w:ilvl w:val="0"/>
          <w:numId w:val="1006"/>
        </w:numPr>
        <w:pStyle w:val="Compact"/>
      </w:pPr>
      <w:r>
        <w:rPr>
          <w:bCs/>
          <w:b/>
        </w:rPr>
        <w:t xml:space="preserve">Total Energy Intensity:</w:t>
      </w:r>
      <w:r>
        <w:t xml:space="preserve"> </w:t>
      </w:r>
      <w:r>
        <w:t xml:space="preserve">25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 Consumption:</w:t>
      </w:r>
      <w:r>
        <w:t xml:space="preserve"> </w:t>
      </w:r>
      <w:r>
        <w:t xml:space="preserve">25 kWh/unit * (1 - 0.60) = 10 kWh/unit</w:t>
      </w:r>
    </w:p>
    <w:p>
      <w:pPr>
        <w:numPr>
          <w:ilvl w:val="0"/>
          <w:numId w:val="1006"/>
        </w:numPr>
        <w:pStyle w:val="Compact"/>
      </w:pPr>
      <w:r>
        <w:rPr>
          <w:bCs/>
          <w:b/>
        </w:rPr>
        <w:t xml:space="preserve">Emissions Calculation:</w:t>
      </w:r>
      <w:r>
        <w:t xml:space="preserve"> </w:t>
      </w:r>
      <w:r>
        <w:t xml:space="preserve">10 kWh/unit * 0.6 kg CO₂e/kWh (China Grid Mix) =</w:t>
      </w:r>
      <w:r>
        <w:t xml:space="preserve"> </w:t>
      </w:r>
      <w:r>
        <w:rPr>
          <w:bCs/>
          <w:b/>
        </w:rPr>
        <w:t xml:space="preserve">6.00 kg CO₂e</w:t>
      </w:r>
    </w:p>
    <w:bookmarkEnd w:id="35"/>
    <w:bookmarkStart w:id="40"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 oizsofpvhv, both upstream and downstream. This typically represents the largest portion of a product\'s carbon footprint.</w:t>
      </w:r>
    </w:p>
    <w:bookmarkStart w:id="36"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transportation of raw materials and components purchased by oizsofpvhv for ifgswiwmnq.</w:t>
      </w:r>
    </w:p>
    <w:p>
      <w:pPr>
        <w:numPr>
          <w:ilvl w:val="0"/>
          <w:numId w:val="1007"/>
        </w:numPr>
        <w:pStyle w:val="Compact"/>
      </w:pPr>
      <w:r>
        <w:rPr>
          <w:bCs/>
          <w:b/>
        </w:rPr>
        <w:t xml:space="preserve">Total Material Emissions (from BOM):</w:t>
      </w:r>
      <w:r>
        <w:t xml:space="preserve"> </w:t>
      </w:r>
      <w:r>
        <w:rPr>
          <w:bCs/>
          <w:b/>
        </w:rPr>
        <w:t xml:space="preserve">2.21 kg CO₂e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and distribution of materials and products from suppliers to oizsofpvhv\'s facilities.</w:t>
      </w:r>
    </w:p>
    <w:p>
      <w:pPr>
        <w:numPr>
          <w:ilvl w:val="0"/>
          <w:numId w:val="1008"/>
        </w:numPr>
        <w:pStyle w:val="Compact"/>
      </w:pPr>
      <w:r>
        <w:rPr>
          <w:bCs/>
          <w:b/>
        </w:rPr>
        <w:t xml:space="preserve">Main Transport Emissions:</w:t>
      </w:r>
      <w:r>
        <w:t xml:space="preserve"> </w:t>
      </w:r>
      <w:r>
        <w:t xml:space="preserve">0.00038 tonnes * 500 km * 0.1 kg CO₂e/tonne-km = 0.019 kg CO₂e</w:t>
      </w:r>
    </w:p>
    <w:p>
      <w:pPr>
        <w:numPr>
          <w:ilvl w:val="0"/>
          <w:numId w:val="1008"/>
        </w:numPr>
        <w:pStyle w:val="Compact"/>
      </w:pPr>
      <w:r>
        <w:rPr>
          <w:bCs/>
          <w:b/>
        </w:rPr>
        <w:t xml:space="preserve">Last-Mile Delivery Emissions (to factory):</w:t>
      </w:r>
      <w:r>
        <w:t xml:space="preserve"> </w:t>
      </w:r>
      <w:r>
        <w:t xml:space="preserve">0.00038 tonnes * 50 km * 0.2 kg CO₂e/tonne-km = 0.0038 kg CO₂e</w:t>
      </w:r>
    </w:p>
    <w:p>
      <w:pPr>
        <w:numPr>
          <w:ilvl w:val="0"/>
          <w:numId w:val="1008"/>
        </w:numPr>
        <w:pStyle w:val="Compact"/>
      </w:pPr>
      <w:r>
        <w:rPr>
          <w:bCs/>
          <w:b/>
        </w:rPr>
        <w:t xml:space="preserve">Total Upstream Transport Emissions:</w:t>
      </w:r>
      <w:r>
        <w:t xml:space="preserve"> </w:t>
      </w:r>
      <w:r>
        <w:t xml:space="preserve">0.019 kg CO₂e + 0.0038 kg CO₂e =</w:t>
      </w:r>
      <w:r>
        <w:t xml:space="preserve"> </w:t>
      </w:r>
      <w:r>
        <w:rPr>
          <w:bCs/>
          <w:b/>
        </w:rPr>
        <w:t xml:space="preserve">0.023 kg CO₂e</w:t>
      </w:r>
    </w:p>
    <w:bookmarkEnd w:id="37"/>
    <w:bookmarkStart w:id="38" w:name="category-11-use-of-sold-products"/>
    <w:p>
      <w:pPr>
        <w:pStyle w:val="Heading4"/>
      </w:pPr>
      <w:r>
        <w:t xml:space="preserve">4.3.3 Category 11: Use of Sold Products</w:t>
      </w:r>
    </w:p>
    <w:p>
      <w:pPr>
        <w:pStyle w:val="FirstParagraph"/>
      </w:pPr>
      <w:r>
        <w:t xml:space="preserve">Emissions from the end-use of ifgswiwmnq by consumers.</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Emissions Calculation:</w:t>
      </w:r>
      <w:r>
        <w:t xml:space="preserve"> </w:t>
      </w:r>
      <w:r>
        <w:t xml:space="preserve">50 kWh * 0.6 kg CO₂e/kWh (Assumed Grid Mix) =</w:t>
      </w:r>
      <w:r>
        <w:t xml:space="preserve"> </w:t>
      </w:r>
      <w:r>
        <w:rPr>
          <w:bCs/>
          <w:b/>
        </w:rPr>
        <w:t xml:space="preserve">30.00 kg CO₂e</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from the disposal or recycling of ifgswiwmnq at the end of its life.</w:t>
      </w:r>
    </w:p>
    <w:p>
      <w:pPr>
        <w:numPr>
          <w:ilvl w:val="0"/>
          <w:numId w:val="1010"/>
        </w:numPr>
        <w:pStyle w:val="Compact"/>
      </w:pPr>
      <w:r>
        <w:rPr>
          <w:bCs/>
          <w:b/>
        </w:rPr>
        <w:t xml:space="preserve">Total Product Weight:</w:t>
      </w:r>
      <w:r>
        <w:t xml:space="preserve"> </w:t>
      </w:r>
      <w:r>
        <w:t xml:space="preserve">0.38 kg</w:t>
      </w:r>
    </w:p>
    <w:p>
      <w:pPr>
        <w:numPr>
          <w:ilvl w:val="0"/>
          <w:numId w:val="1010"/>
        </w:numPr>
        <w:pStyle w:val="Compact"/>
      </w:pPr>
      <w:r>
        <w:rPr>
          <w:bCs/>
          <w:b/>
        </w:rPr>
        <w:t xml:space="preserve">Recycled Portion:</w:t>
      </w:r>
      <w:r>
        <w:t xml:space="preserve"> </w:t>
      </w:r>
      <w:r>
        <w:t xml:space="preserve">0.38 kg * 0.80 = 0.304 kg</w:t>
      </w:r>
    </w:p>
    <w:p>
      <w:pPr>
        <w:numPr>
          <w:ilvl w:val="0"/>
          <w:numId w:val="1010"/>
        </w:numPr>
        <w:pStyle w:val="Compact"/>
      </w:pPr>
      <w:r>
        <w:rPr>
          <w:bCs/>
          <w:b/>
        </w:rPr>
        <w:t xml:space="preserve">Recycling Credit:</w:t>
      </w:r>
      <w:r>
        <w:t xml:space="preserve"> </w:t>
      </w:r>
      <w:r>
        <w:t xml:space="preserve">0.304 kg * (-1.0 kg CO₂e/kg) = -0.304 kg CO₂e</w:t>
      </w:r>
    </w:p>
    <w:p>
      <w:pPr>
        <w:numPr>
          <w:ilvl w:val="0"/>
          <w:numId w:val="1010"/>
        </w:numPr>
        <w:pStyle w:val="Compact"/>
      </w:pPr>
      <w:r>
        <w:rPr>
          <w:bCs/>
          <w:b/>
        </w:rPr>
        <w:t xml:space="preserve">Non-Recycled (Landfill) Portion:</w:t>
      </w:r>
      <w:r>
        <w:t xml:space="preserve"> </w:t>
      </w:r>
      <w:r>
        <w:t xml:space="preserve">0.38 kg * 0.20 = 0.076 kg</w:t>
      </w:r>
    </w:p>
    <w:p>
      <w:pPr>
        <w:numPr>
          <w:ilvl w:val="0"/>
          <w:numId w:val="1010"/>
        </w:numPr>
        <w:pStyle w:val="Compact"/>
      </w:pPr>
      <w:r>
        <w:rPr>
          <w:bCs/>
          <w:b/>
        </w:rPr>
        <w:t xml:space="preserve">Landfill Emissions:</w:t>
      </w:r>
      <w:r>
        <w:t xml:space="preserve"> </w:t>
      </w:r>
      <w:r>
        <w:t xml:space="preserve">0.076 kg * 1.0 kg CO₂e/kg = 0.076 kg CO₂e</w:t>
      </w:r>
    </w:p>
    <w:p>
      <w:pPr>
        <w:numPr>
          <w:ilvl w:val="0"/>
          <w:numId w:val="1010"/>
        </w:numPr>
        <w:pStyle w:val="Compact"/>
      </w:pPr>
      <w:r>
        <w:rPr>
          <w:bCs/>
          <w:b/>
        </w:rPr>
        <w:t xml:space="preserve">Net End-of-Life Emissions:</w:t>
      </w:r>
      <w:r>
        <w:t xml:space="preserve"> </w:t>
      </w:r>
      <w:r>
        <w:t xml:space="preserve">-0.304 kg CO₂e + 0.076 kg CO₂e =</w:t>
      </w:r>
      <w:r>
        <w:t xml:space="preserve"> </w:t>
      </w:r>
      <w:r>
        <w:rPr>
          <w:bCs/>
          <w:b/>
        </w:rPr>
        <w:t xml:space="preserve">-0.228 kg CO₂e</w:t>
      </w:r>
    </w:p>
    <w:bookmarkEnd w:id="39"/>
    <w:bookmarkEnd w:id="40"/>
    <w:bookmarkStart w:id="41"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was released on January 30, 2026, and is set to take effect on January 1, 2027. This standard provides requirements and guidance for accounting and reporting GHG emissions and CO₂ removals from land management, land use change, and biogenic products. While detailed application of the LSR Standard requires specific land-use activity data, for this PCF analysis, we acknowledge its importance, especially for products with significant agricultural or bio-based components in their upstream value chain. oizsofpvhv should assess potential impacts and align its GHG accounting practices for relevant activities in 2026 to prepare for the standard\'s full effect in 2027, particularly as accompanying guidance is expected in Q2 2026.</w:t>
      </w:r>
    </w:p>
    <w:bookmarkEnd w:id="41"/>
    <w:bookmarkStart w:id="42" w:name="Xda15c8835950426bcd56d08808479d904ec8b22"/>
    <w:p>
      <w:pPr>
        <w:pStyle w:val="Heading3"/>
      </w:pPr>
      <w:r>
        <w:t xml:space="preserve">4.5 Summary of Product Carbon Footprint (PCF) for ifgswiwmnq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CO₂e/unit)</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2.210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6.000</w:t>
            </w:r>
          </w:p>
        </w:tc>
      </w:tr>
      <w:tr>
        <w:tc>
          <w:tcPr/>
          <w:p>
            <w:pPr>
              <w:pStyle w:val="Compact"/>
              <w:jc w:val="left"/>
            </w:pPr>
            <w:r>
              <w:t xml:space="preserve">Transportation (Upstream &amp; Last-Mile to Factory)</w:t>
            </w:r>
          </w:p>
        </w:tc>
        <w:tc>
          <w:tcPr/>
          <w:p>
            <w:pPr>
              <w:pStyle w:val="Compact"/>
              <w:jc w:val="left"/>
            </w:pPr>
            <w:r>
              <w:t xml:space="preserve">Scope 3, Category 4</w:t>
            </w:r>
          </w:p>
        </w:tc>
        <w:tc>
          <w:tcPr/>
          <w:p>
            <w:pPr>
              <w:pStyle w:val="Compact"/>
              <w:jc w:val="left"/>
            </w:pPr>
            <w:r>
              <w:t xml:space="preserve">0.023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 (Net Emissions/Credits)</w:t>
            </w:r>
          </w:p>
        </w:tc>
        <w:tc>
          <w:tcPr/>
          <w:p>
            <w:pPr>
              <w:pStyle w:val="Compact"/>
              <w:jc w:val="left"/>
            </w:pPr>
            <w:r>
              <w:t xml:space="preserve">Scope 3, Category 12</w:t>
            </w:r>
          </w:p>
        </w:tc>
        <w:tc>
          <w:tcPr/>
          <w:p>
            <w:pPr>
              <w:pStyle w:val="Compact"/>
              <w:jc w:val="left"/>
            </w:pPr>
            <w:r>
              <w:t xml:space="preserve">-0.228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38.005</w:t>
            </w:r>
          </w:p>
        </w:tc>
      </w:tr>
    </w:tbl>
    <w:p>
      <w:r>
        <w:pict>
          <v:rect style="width:0;height:1.5pt" o:hralign="center" o:hrstd="t" o:hr="t"/>
        </w:pict>
      </w:r>
    </w:p>
    <w:bookmarkEnd w:id="42"/>
    <w:bookmarkEnd w:id="43"/>
    <w:bookmarkStart w:id="46" w:name="review-reporting"/>
    <w:p>
      <w:pPr>
        <w:pStyle w:val="Heading2"/>
      </w:pPr>
      <w:r>
        <w:t xml:space="preserve">5. Review &amp; Reporting</w:t>
      </w:r>
    </w:p>
    <w:bookmarkStart w:id="44" w:name="emission-hotspots"/>
    <w:p>
      <w:pPr>
        <w:pStyle w:val="Heading3"/>
      </w:pPr>
      <w:r>
        <w:t xml:space="preserve">5.1 Emission Hotspots</w:t>
      </w:r>
    </w:p>
    <w:p>
      <w:pPr>
        <w:pStyle w:val="FirstParagraph"/>
      </w:pPr>
      <w:r>
        <w:t xml:space="preserve">The analysis reveals the following emission hotspots for ifgswiwmnq:</w:t>
      </w:r>
    </w:p>
    <w:p>
      <w:pPr>
        <w:numPr>
          <w:ilvl w:val="0"/>
          <w:numId w:val="1011"/>
        </w:numPr>
        <w:pStyle w:val="Compact"/>
      </w:pPr>
      <w:r>
        <w:rPr>
          <w:bCs/>
          <w:b/>
        </w:rPr>
        <w:t xml:space="preserve">Use Phase (30.00 kg CO₂e):</w:t>
      </w:r>
      <w:r>
        <w:t xml:space="preserve"> </w:t>
      </w:r>
      <w:r>
        <w:t xml:space="preserve">This is by far the largest contributor, accounting for approximately 78.9% of the total PCF. This is primarily driven by the product\'s lifespan and its energy consumption during operation.</w:t>
      </w:r>
    </w:p>
    <w:p>
      <w:pPr>
        <w:numPr>
          <w:ilvl w:val="0"/>
          <w:numId w:val="1011"/>
        </w:numPr>
        <w:pStyle w:val="Compact"/>
      </w:pPr>
      <w:r>
        <w:rPr>
          <w:bCs/>
          <w:b/>
        </w:rPr>
        <w:t xml:space="preserve">Manufacturing (Purchased Electricity) (6.00 kg CO₂e):</w:t>
      </w:r>
      <w:r>
        <w:t xml:space="preserve"> </w:t>
      </w:r>
      <w:r>
        <w:t xml:space="preserve">This accounts for approximately 15.8% of the total PCF. While 60% renewable energy is used, the remaining non-renewable portion significantly contributes.</w:t>
      </w:r>
    </w:p>
    <w:p>
      <w:pPr>
        <w:numPr>
          <w:ilvl w:val="0"/>
          <w:numId w:val="1011"/>
        </w:numPr>
        <w:pStyle w:val="Compact"/>
      </w:pPr>
      <w:r>
        <w:rPr>
          <w:bCs/>
          <w:b/>
        </w:rPr>
        <w:t xml:space="preserve">Materials (2.21 kg CO₂e):</w:t>
      </w:r>
      <w:r>
        <w:t xml:space="preserve"> </w:t>
      </w:r>
      <w:r>
        <w:t xml:space="preserve">Constituting about 5.8% of the PCF, the raw materials, particularly the Lithium-ion battery and Aluminum Alloy, represent a notable impact.</w:t>
      </w:r>
    </w:p>
    <w:p>
      <w:pPr>
        <w:numPr>
          <w:ilvl w:val="0"/>
          <w:numId w:val="1011"/>
        </w:numPr>
        <w:pStyle w:val="Compact"/>
      </w:pPr>
      <w:r>
        <w:rPr>
          <w:bCs/>
          <w:b/>
        </w:rPr>
        <w:t xml:space="preserve">Transportation (0.023 kg CO₂e):</w:t>
      </w:r>
      <w:r>
        <w:t xml:space="preserve"> </w:t>
      </w:r>
      <w:r>
        <w:t xml:space="preserve">Emissions from transportation are relatively minor for this product due to its low weight, accounting for less than 0.1% of the total PCF.</w:t>
      </w:r>
    </w:p>
    <w:p>
      <w:pPr>
        <w:numPr>
          <w:ilvl w:val="0"/>
          <w:numId w:val="1011"/>
        </w:numPr>
        <w:pStyle w:val="Compact"/>
      </w:pPr>
      <w:r>
        <w:rPr>
          <w:bCs/>
          <w:b/>
        </w:rPr>
        <w:t xml:space="preserve">End-of-Life (-0.228 kg CO₂e):</w:t>
      </w:r>
      <w:r>
        <w:t xml:space="preserve"> </w:t>
      </w:r>
      <w:r>
        <w:t xml:space="preserve">The high recyclability rate results in a net carbon credit, indicating avoided emissions through circular economy practices.</w:t>
      </w:r>
    </w:p>
    <w:bookmarkEnd w:id="44"/>
    <w:bookmarkStart w:id="45" w:name="reliability-and-recommendations"/>
    <w:p>
      <w:pPr>
        <w:pStyle w:val="Heading3"/>
      </w:pPr>
      <w:r>
        <w:t xml:space="preserve">5.2 Reliability and Recommendations</w:t>
      </w:r>
    </w:p>
    <w:p>
      <w:pPr>
        <w:pStyle w:val="FirstParagraph"/>
      </w:pPr>
      <w:r>
        <w:t xml:space="preserve">The reliability of this PCF analysis is dependent on the accuracy of the provided activity data and the representativeness of the assumed secondary emission factors. For future iterations and enhanced accuracy, it is recommended that oizsofpvhv:</w:t>
      </w:r>
    </w:p>
    <w:p>
      <w:pPr>
        <w:numPr>
          <w:ilvl w:val="0"/>
          <w:numId w:val="1012"/>
        </w:numPr>
        <w:pStyle w:val="Compact"/>
      </w:pPr>
      <w:r>
        <w:rPr>
          <w:bCs/>
          <w:b/>
        </w:rPr>
        <w:t xml:space="preserve">Collect Primary Data:</w:t>
      </w:r>
      <w:r>
        <w:t xml:space="preserve"> </w:t>
      </w:r>
      <w:r>
        <w:t xml:space="preserve">Prioritize collecting primary energy consumption data for the manufacturing process directly from facilities in China, and engage with key suppliers for material-specific cradle-to-gate emission data.</w:t>
      </w:r>
    </w:p>
    <w:p>
      <w:pPr>
        <w:numPr>
          <w:ilvl w:val="0"/>
          <w:numId w:val="1012"/>
        </w:numPr>
        <w:pStyle w:val="Compact"/>
      </w:pPr>
      <w:r>
        <w:rPr>
          <w:bCs/>
          <w:b/>
        </w:rPr>
        <w:t xml:space="preserve">Refine Use Phase Analysis:</w:t>
      </w:r>
      <w:r>
        <w:t xml:space="preserve"> </w:t>
      </w:r>
      <w:r>
        <w:t xml:space="preserve">Conduct more detailed studies on typical user behavior and energy sources in the regions where the product is primarily used to refine use phase emissions.</w:t>
      </w:r>
    </w:p>
    <w:p>
      <w:pPr>
        <w:numPr>
          <w:ilvl w:val="0"/>
          <w:numId w:val="1012"/>
        </w:numPr>
        <w:pStyle w:val="Compact"/>
      </w:pPr>
      <w:r>
        <w:rPr>
          <w:bCs/>
          <w:b/>
        </w:rPr>
        <w:t xml:space="preserve">Optimize Manufacturing Energy:</w:t>
      </w:r>
      <w:r>
        <w:t xml:space="preserve"> </w:t>
      </w:r>
      <w:r>
        <w:t xml:space="preserve">Explore further opportunities to increase renewable energy usage in manufacturing beyond xvktrhwxdn, and investigate energy efficiency measures to reduce overall energy intensity.</w:t>
      </w:r>
    </w:p>
    <w:p>
      <w:pPr>
        <w:numPr>
          <w:ilvl w:val="0"/>
          <w:numId w:val="1012"/>
        </w:numPr>
        <w:pStyle w:val="Compact"/>
      </w:pPr>
      <w:r>
        <w:rPr>
          <w:bCs/>
          <w:b/>
        </w:rPr>
        <w:t xml:space="preserve">Supply Chain Engagement:</w:t>
      </w:r>
      <w:r>
        <w:t xml:space="preserve"> </w:t>
      </w:r>
      <w:r>
        <w:t xml:space="preserve">Work with suppliers to identify opportunities for lower-carbon materials and more efficient transportation modes, particularly for high-impact components.</w:t>
      </w:r>
    </w:p>
    <w:p>
      <w:pPr>
        <w:numPr>
          <w:ilvl w:val="0"/>
          <w:numId w:val="1012"/>
        </w:numPr>
        <w:pStyle w:val="Compact"/>
      </w:pPr>
      <w:r>
        <w:rPr>
          <w:bCs/>
          <w:b/>
        </w:rPr>
        <w:t xml:space="preserve">Strengthen Circularity:</w:t>
      </w:r>
      <w:r>
        <w:t xml:space="preserve"> </w:t>
      </w:r>
      <w:r>
        <w:t xml:space="preserve">Continue to promote and expand circular/take-back programs (zllluiduns) and explore design improvements to further enhance recyclability and reduce end-of-life impacts.</w:t>
      </w:r>
    </w:p>
    <w:p>
      <w:pPr>
        <w:numPr>
          <w:ilvl w:val="0"/>
          <w:numId w:val="1012"/>
        </w:numPr>
        <w:pStyle w:val="Compact"/>
      </w:pPr>
      <w:r>
        <w:rPr>
          <w:bCs/>
          <w:b/>
        </w:rPr>
        <w:t xml:space="preserve">LSR Standard Preparation:</w:t>
      </w:r>
      <w:r>
        <w:t xml:space="preserve"> </w:t>
      </w:r>
      <w:r>
        <w:t xml:space="preserve">Begin assessing the implications of the GHG Protocol\'s 2026 LSR Standard for any land-based activities within oizsofpvhv\'s operations or value chain, particularly for raw material sourcing or land management practices.</w: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ifgswiwmnq</dc:title>
  <dc:creator/>
  <dc:description>High-detail Product Carbon Footprint (PCF) analysis report for product ifgswiwmnq by oizsofpvhv, adhering to GHG Protocol and 2026 LSR Update, conducted by Senior Sustainability Consultant xuquzojmgn.</dc:description>
  <dc:language>en</dc:language>
  <cp:keywords/>
  <dcterms:created xsi:type="dcterms:W3CDTF">2026-07-15T11:41:37Z</dcterms:created>
  <dcterms:modified xsi:type="dcterms:W3CDTF">2026-07-15T11:41:37Z</dcterms:modified>
</cp:coreProperties>
</file>

<file path=docProps/custom.xml><?xml version="1.0" encoding="utf-8"?>
<Properties xmlns="http://schemas.openxmlformats.org/officeDocument/2006/custom-properties" xmlns:vt="http://schemas.openxmlformats.org/officeDocument/2006/docPropsVTypes"/>
</file>