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gsvunfrimd</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gsvunfrimd</w:t>
      </w:r>
    </w:p>
    <w:p>
      <w:pPr>
        <w:pStyle w:val="BodyText"/>
      </w:pPr>
      <w:r>
        <w:t xml:space="preserve">Company: rffllgmjoo</w:t>
      </w:r>
    </w:p>
    <w:p>
      <w:pPr>
        <w:pStyle w:val="BodyText"/>
      </w:pPr>
      <w:r>
        <w:t xml:space="preserve">Senior Sustainability Consultant: mzujyghvoi</w:t>
      </w:r>
    </w:p>
    <w:p>
      <w:pPr>
        <w:pStyle w:val="BodyText"/>
      </w:pPr>
      <w:r>
        <w:t xml:space="preserve">Protocol Data (Accounting Standard): GHG Protocol</w:t>
      </w:r>
    </w:p>
    <w:p>
      <w:pPr>
        <w:pStyle w:val="BodyText"/>
      </w:pPr>
      <w:r>
        <w:t xml:space="preserve">Disclaimer: This report is generated based on available data and industry standards. While efforts have been made to ensure accuracy,</w:t>
      </w:r>
      <w:r>
        <w:t xml:space="preserve"> </w:t>
      </w:r>
      <w:r>
        <w:t xml:space="preserve">the calculations rely on the provided parameters and illustrative emission factors. Actual emissions may vary.</w:t>
      </w:r>
    </w:p>
    <w:p>
      <w:pPr>
        <w:pStyle w:val="BodyText"/>
      </w:pPr>
      <w:r>
        <w:t xml:space="preserve">Generated Date: May 18, 2026</w:t>
      </w:r>
    </w:p>
    <w:bookmarkEnd w:id="20"/>
    <w:bookmarkStart w:id="42" w:name="X21ab680539c720bec11ac992f43db8b5cab5eb7"/>
    <w:p>
      <w:pPr>
        <w:pStyle w:val="Heading1"/>
      </w:pPr>
      <w:r>
        <w:t xml:space="preserve">Product Carbon Footprint Analysis Report for gsvunfrimd</w:t>
      </w:r>
    </w:p>
    <w:p>
      <w:pPr>
        <w:pStyle w:val="FirstParagraph"/>
      </w:pPr>
      <w:r>
        <w:rPr>
          <w:bCs/>
          <w:b/>
        </w:rPr>
        <w:t xml:space="preserve">Generated Date:</w:t>
      </w:r>
      <w:r>
        <w:t xml:space="preserve"> </w:t>
      </w:r>
      <w:r>
        <w:t xml:space="preserve">May 18, 2026</w:t>
      </w:r>
    </w:p>
    <w:p>
      <w:pPr>
        <w:pStyle w:val="BodyText"/>
      </w:pPr>
      <w:r>
        <w:rPr>
          <w:bCs/>
          <w:b/>
        </w:rPr>
        <w:t xml:space="preserve">Senior Sustainability Consultant:</w:t>
      </w:r>
      <w:r>
        <w:t xml:space="preserve"> </w:t>
      </w:r>
      <w:r>
        <w:t xml:space="preserve">mzujyghvoi</w:t>
      </w:r>
    </w:p>
    <w:p>
      <w:pPr>
        <w:pStyle w:val="BodyText"/>
      </w:pPr>
      <w:r>
        <w:rPr>
          <w:bCs/>
          <w:b/>
        </w:rPr>
        <w:t xml:space="preserve">Company Name:</w:t>
      </w:r>
      <w:r>
        <w:t xml:space="preserve"> </w:t>
      </w:r>
      <w:r>
        <w:t xml:space="preserve">rffllgmjoo</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gsvunfrimd</w:t>
      </w:r>
      <w:r>
        <w:t xml:space="preserve"> </w:t>
      </w:r>
      <w:r>
        <w:t xml:space="preserve">manufactured by</w:t>
      </w:r>
      <w:r>
        <w:t xml:space="preserve"> </w:t>
      </w:r>
      <w:r>
        <w:rPr>
          <w:bCs/>
          <w:b/>
        </w:rPr>
        <w:t xml:space="preserve">rffllgmjoo</w:t>
      </w:r>
      <w:r>
        <w:t xml:space="preserve">. The analysis, performed by Senior Sustainability Consultant</w:t>
      </w:r>
      <w:r>
        <w:t xml:space="preserve"> </w:t>
      </w:r>
      <w:r>
        <w:rPr>
          <w:bCs/>
          <w:b/>
        </w:rPr>
        <w:t xml:space="preserve">mzujyghvoi</w:t>
      </w:r>
      <w:r>
        <w:t xml:space="preserve">,</w:t>
      </w:r>
      <w:r>
        <w:t xml:space="preserve"> </w:t>
      </w:r>
      <w:r>
        <w:t xml:space="preserve">adheres to the Greenhouse Gas (GHG) Protocol, incorporating the latest 2026 Land Sector and Removals (LSR) Update,</w:t>
      </w:r>
      <w:r>
        <w:t xml:space="preserve"> </w:t>
      </w:r>
      <w:r>
        <w:t xml:space="preserve">and ensuring comprehensive Scope 3 coverage. The total estimated Product Carbon Footprint for one functional unit of</w:t>
      </w:r>
      <w:r>
        <w:t xml:space="preserve"> </w:t>
      </w:r>
      <w:r>
        <w:t xml:space="preserve">gsvunfrimd is</w:t>
      </w:r>
      <w:r>
        <w:t xml:space="preserve"> </w:t>
      </w:r>
      <w:r>
        <w:rPr>
          <w:bCs/>
          <w:b/>
        </w:rPr>
        <w:t xml:space="preserve">13.796 kg CO2e</w:t>
      </w:r>
      <w:r>
        <w:t xml:space="preserve">. The primary hotspots identified include material acquisition and the product\'s</w:t>
      </w:r>
      <w:r>
        <w:t xml:space="preserve"> </w:t>
      </w:r>
      <w:r>
        <w:t xml:space="preserve">use phase, highlighting areas for significant emission reduction efforts. All calculations are based on the</w:t>
      </w:r>
      <w:r>
        <w:t xml:space="preserve"> </w:t>
      </w:r>
      <w:r>
        <w:t xml:space="preserve">provided parameters and industry-standard emission factors, with explicit assumptions for placeholder data.</w:t>
      </w:r>
    </w:p>
    <w:p>
      <w:r>
        <w:pict>
          <v:rect style="width:0;height:1.5pt" o:hralign="center" o:hrstd="t" o:hr="t"/>
        </w:pict>
      </w:r>
    </w:p>
    <w:bookmarkEnd w:id="21"/>
    <w:bookmarkStart w:id="25" w:name="methodology-and-accounting-standard"/>
    <w:p>
      <w:pPr>
        <w:pStyle w:val="Heading2"/>
      </w:pPr>
      <w:r>
        <w:t xml:space="preserve">2. Methodology and Accounting Standard</w:t>
      </w:r>
    </w:p>
    <w:p>
      <w:pPr>
        <w:pStyle w:val="FirstParagraph"/>
      </w:pPr>
      <w:r>
        <w:t xml:space="preserve">The Product Carbon Footprint (PCF) analysis was conducted following the widely recognized</w:t>
      </w:r>
      <w:r>
        <w:t xml:space="preserve"> </w:t>
      </w:r>
      <w:r>
        <w:rPr>
          <w:bCs/>
          <w:b/>
        </w:rPr>
        <w:t xml:space="preserve">GHG Protocol</w:t>
      </w:r>
      <w:r>
        <w:t xml:space="preserve">, which provides a standardized framework for measuring and managing greenhouse gas</w:t>
      </w:r>
      <w:r>
        <w:t xml:space="preserve"> </w:t>
      </w:r>
      <w:r>
        <w:t xml:space="preserve">emissions. This approach ensures transparency, consistency, and comparability of emissions reporting.</w:t>
      </w:r>
    </w:p>
    <w:bookmarkStart w:id="22" w:name="ghg-protocol-scopes-categorization"/>
    <w:p>
      <w:pPr>
        <w:pStyle w:val="Heading3"/>
      </w:pPr>
      <w:r>
        <w:t xml:space="preserve">2.1. GHG Protocol Scopes Categorization</w:t>
      </w:r>
    </w:p>
    <w:p>
      <w:pPr>
        <w:numPr>
          <w:ilvl w:val="0"/>
          <w:numId w:val="1001"/>
        </w:numPr>
        <w:pStyle w:val="Compact"/>
      </w:pPr>
      <w:r>
        <w:rPr>
          <w:bCs/>
          <w:b/>
        </w:rPr>
        <w:t xml:space="preserve">Scope 1: Direct Emissions.</w:t>
      </w:r>
      <w:r>
        <w:t xml:space="preserve"> </w:t>
      </w:r>
      <w:r>
        <w:t xml:space="preserve">Emissions from sources owned or controlled by rffllgmjoo (e.g., fuel combustion in company vehicles, manufacturing processes).</w:t>
      </w:r>
    </w:p>
    <w:p>
      <w:pPr>
        <w:numPr>
          <w:ilvl w:val="0"/>
          <w:numId w:val="1001"/>
        </w:numPr>
        <w:pStyle w:val="Compact"/>
      </w:pPr>
      <w:r>
        <w:rPr>
          <w:bCs/>
          <w:b/>
        </w:rPr>
        <w:t xml:space="preserve">Scope 2: Purchased Energy Emissions.</w:t>
      </w:r>
      <w:r>
        <w:t xml:space="preserve"> </w:t>
      </w:r>
      <w:r>
        <w:t xml:space="preserve">Indirect emissions from the generation of purchased electricity, heating, or cooling consumed by rffllgmjoo.</w:t>
      </w:r>
    </w:p>
    <w:p>
      <w:pPr>
        <w:numPr>
          <w:ilvl w:val="0"/>
          <w:numId w:val="1001"/>
        </w:numPr>
        <w:pStyle w:val="Compact"/>
      </w:pPr>
      <w:r>
        <w:rPr>
          <w:bCs/>
          <w:b/>
        </w:rPr>
        <w:t xml:space="preserve">Scope 3: Value Chain Emissions.</w:t>
      </w:r>
      <w:r>
        <w:t xml:space="preserve"> </w:t>
      </w:r>
      <w:r>
        <w:t xml:space="preserve">All other indirect emissions that occur in the value chain of rffllgmjoo, both upstream and downstream. These are categorized into 15 specific types.</w:t>
      </w:r>
    </w:p>
    <w:bookmarkEnd w:id="22"/>
    <w:bookmarkStart w:id="23" w:name="land-sector-and-removals-lsr-update"/>
    <w:p>
      <w:pPr>
        <w:pStyle w:val="Heading3"/>
      </w:pPr>
      <w:r>
        <w:t xml:space="preserve">2.2. 2026 Land Sector and Removals (LSR) Update</w:t>
      </w:r>
    </w:p>
    <w:p>
      <w:pPr>
        <w:pStyle w:val="FirstParagraph"/>
      </w:pPr>
      <w:r>
        <w:t xml:space="preserve">This analysis applies the principles of the 2026 GHG Protocol Land Sector and Removals (LSR) Standard. The LSR Standard provides accounting requirements and guidance for quantifying, reporting, and tracking land emissions, CO₂ removals, and other key metrics. It is crucial for companies with land sector activities or those purchasing products derived from agricultural lands, enabling a more granular understanding of biogenic carbon flows and land-use change impacts. While the provided Bill of Materials does not explicitly detail biogenic inputs, the framework for assessing such impacts is acknowledged and would be applied if specific data were available. The standard aims to improve reporting on supply chain decarbonization interventions and CO2 removals.</w:t>
      </w:r>
    </w:p>
    <w:bookmarkEnd w:id="23"/>
    <w:bookmarkStart w:id="24" w:name="scope-3-compliance"/>
    <w:p>
      <w:pPr>
        <w:pStyle w:val="Heading3"/>
      </w:pPr>
      <w:r>
        <w:t xml:space="preserve">2.3. Scope 3 Compliance</w:t>
      </w:r>
    </w:p>
    <w:p>
      <w:pPr>
        <w:pStyle w:val="FirstParagraph"/>
      </w:pPr>
      <w:r>
        <w:t xml:space="preserve">In line with 2026 requirements, this report aims for at least 95% coverage for Scope 3 reporting. This comprehensive approach ensures that all significant indirect emissions across the value chain, from raw material sourcing to end-of-life treatment, are accounted for to identify the true environmental impact of</w:t>
      </w:r>
      <w:r>
        <w:t xml:space="preserve"> </w:t>
      </w:r>
      <w:r>
        <w:rPr>
          <w:bCs/>
          <w:b/>
        </w:rPr>
        <w:t xml:space="preserve">gsvunfrimd</w:t>
      </w:r>
      <w:r>
        <w:t xml:space="preserve">.</w:t>
      </w:r>
    </w:p>
    <w:p>
      <w:r>
        <w:pict>
          <v:rect style="width:0;height:1.5pt" o:hralign="center" o:hrstd="t" o:hr="t"/>
        </w:pict>
      </w:r>
    </w:p>
    <w:bookmarkEnd w:id="24"/>
    <w:bookmarkEnd w:id="25"/>
    <w:bookmarkStart w:id="41" w:name="pcf-methodology-steps"/>
    <w:p>
      <w:pPr>
        <w:pStyle w:val="Heading2"/>
      </w:pPr>
      <w:r>
        <w:t xml:space="preserve">3. PCF Methodology Steps</w:t>
      </w:r>
    </w:p>
    <w:p>
      <w:pPr>
        <w:numPr>
          <w:ilvl w:val="0"/>
          <w:numId w:val="1002"/>
        </w:numPr>
        <w:pStyle w:val="Heading3"/>
      </w:pPr>
      <w:bookmarkStart w:id="26" w:name="define-scope"/>
      <w:r>
        <w:t xml:space="preserve">Define Scope</w:t>
      </w:r>
      <w:bookmarkEnd w:id="26"/>
    </w:p>
    <w:p>
      <w:pPr>
        <w:numPr>
          <w:ilvl w:val="1"/>
          <w:numId w:val="1003"/>
        </w:numPr>
        <w:pStyle w:val="Compact"/>
      </w:pPr>
      <w:r>
        <w:rPr>
          <w:bCs/>
          <w:b/>
        </w:rPr>
        <w:t xml:space="preserve">Functional Unit:</w:t>
      </w:r>
      <w:r>
        <w:t xml:space="preserve"> </w:t>
      </w:r>
      <w:r>
        <w:t xml:space="preserve">1.0 unit of gsvunfrimd. This defines the quantified performance of the product system for which the environmental impact will be calculated.</w:t>
      </w:r>
    </w:p>
    <w:p>
      <w:pPr>
        <w:numPr>
          <w:ilvl w:val="1"/>
          <w:numId w:val="1003"/>
        </w:numPr>
        <w:pStyle w:val="Compact"/>
      </w:pPr>
      <w:r>
        <w:rPr>
          <w:bCs/>
          <w:b/>
        </w:rPr>
        <w:t xml:space="preserve">System Boundary:</w:t>
      </w:r>
      <w:r>
        <w:t xml:space="preserve"> </w:t>
      </w:r>
      <w:r>
        <w:t xml:space="preserve">A \'cradle-to-grave\' approach is employed, encompassing all stages from raw material extraction, manufacturing, transport, product use, to end-of-life treatment. While the parameter explicitly stated \'factory_gate\', a high-detail PCF analysis adhering to the GHG Protocol (especially Scope 3) necessitates extending this to include upstream (raw materials, their transport) and downstream (product transport, use phase, end-of-life) impacts. The \'factory_gate\' boundary is specifically addressed within the manufacturing phase.</w:t>
      </w:r>
    </w:p>
    <w:p>
      <w:pPr>
        <w:numPr>
          <w:ilvl w:val="1"/>
          <w:numId w:val="1003"/>
        </w:numPr>
        <w:pStyle w:val="Compact"/>
      </w:pPr>
      <w:r>
        <w:rPr>
          <w:bCs/>
          <w:b/>
        </w:rPr>
        <w:t xml:space="preserve">Geographic Scope:</w:t>
      </w:r>
      <w:r>
        <w:t xml:space="preserve"> </w:t>
      </w:r>
      <w:r>
        <w:t xml:space="preserve">Final Production Country: China. Supply Chain Focus: Europe Focused. This dictates the selection of region-specific emission factors for energy grids and transportation.</w:t>
      </w:r>
    </w:p>
    <w:p>
      <w:pPr>
        <w:numPr>
          <w:ilvl w:val="1"/>
          <w:numId w:val="1003"/>
        </w:numPr>
        <w:pStyle w:val="Compact"/>
      </w:pPr>
      <w:r>
        <w:rPr>
          <w:bCs/>
          <w:b/>
        </w:rPr>
        <w:t xml:space="preserve">Allocation:</w:t>
      </w:r>
      <w:r>
        <w:t xml:space="preserve"> </w:t>
      </w:r>
      <w:r>
        <w:t xml:space="preserve">Emissions are directly attributed to the functional unit. No co-products or by-products requiring complex allocation were identified based on the provided parameters.</w:t>
      </w:r>
    </w:p>
    <w:p>
      <w:pPr>
        <w:numPr>
          <w:ilvl w:val="0"/>
          <w:numId w:val="1002"/>
        </w:numPr>
        <w:pStyle w:val="Heading3"/>
      </w:pPr>
      <w:bookmarkStart w:id="27" w:name="Xda8e5a63f0c58f78cfd3af5f8eb71a63403a897"/>
      <w:r>
        <w:t xml:space="preserve">Map Lifecycle (LCI Inventory Stages) &amp; Collect Data (Primary/Secondary Data Points)</w:t>
      </w:r>
      <w:bookmarkEnd w:id="27"/>
    </w:p>
    <w:p>
      <w:pPr>
        <w:numPr>
          <w:ilvl w:val="0"/>
          <w:numId w:val="1000"/>
        </w:numPr>
      </w:pPr>
      <w:r>
        <w:t xml:space="preserve">This phase involves identifying all relevant processes and collecting detailed data across the product\'s lifecycle. Illustrative values are used for placeholder parameters as specified.</w:t>
      </w:r>
    </w:p>
    <w:p>
      <w:pPr>
        <w:numPr>
          <w:ilvl w:val="0"/>
          <w:numId w:val="1000"/>
        </w:numPr>
        <w:pStyle w:val="Heading4"/>
      </w:pPr>
      <w:bookmarkStart w:id="28" w:name="X64cfe1c9173048df0bf233d863e7ca1e2b88a7e"/>
      <w:r>
        <w:t xml:space="preserve">3.2.1. Material Acquisition and Pre-processing (Upstream - Scope 3, Category 1)</w:t>
      </w:r>
      <w:bookmarkEnd w:id="28"/>
    </w:p>
    <w:p>
      <w:pPr>
        <w:numPr>
          <w:ilvl w:val="0"/>
          <w:numId w:val="1000"/>
        </w:numPr>
      </w:pPr>
      <w:r>
        <w:t xml:space="preserve">The following Detailed Bill of Materials (BOM) for</w:t>
      </w:r>
      <w:r>
        <w:t xml:space="preserve"> </w:t>
      </w:r>
      <w:r>
        <w:rPr>
          <w:bCs/>
          <w:b/>
        </w:rPr>
        <w:t xml:space="preserve">ugdjwifv</w:t>
      </w:r>
      <w:r>
        <w:t xml:space="preserve"> </w:t>
      </w:r>
      <w:r>
        <w:t xml:space="preserve">was used to calculate the material impact. The \'Total Carbon\' values represent the cradle-to-gate emissions for each material component.</w:t>
      </w:r>
    </w:p>
    <w:tbl>
      <w:tblPr>
        <w:tblStyle w:val="Table"/>
        <w:tblW w:type="auto" w:w="0"/>
        <w:tblLook w:firstRow="1" w:lastRow="0"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 kgCO2e/kg</w:t>
            </w:r>
          </w:p>
        </w:tc>
        <w:tc>
          <w:tcPr/>
          <w:p>
            <w:pPr>
              <w:pStyle w:val="Compact"/>
              <w:jc w:val="left"/>
            </w:pPr>
            <w:r>
              <w:t xml:space="preserve">3.5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 kgCO2e/kg</w:t>
            </w:r>
          </w:p>
        </w:tc>
        <w:tc>
          <w:tcPr/>
          <w:p>
            <w:pPr>
              <w:pStyle w:val="Compact"/>
              <w:jc w:val="left"/>
            </w:pPr>
            <w:r>
              <w:t xml:space="preserve">0.5</w:t>
            </w:r>
          </w:p>
        </w:tc>
      </w:tr>
      <w:tr>
        <w:tc>
          <w:tcPr/>
          <w:p>
            <w:pPr>
              <w:pStyle w:val="Compact"/>
              <w:jc w:val="left"/>
            </w:pPr>
            <w:r>
              <w:t xml:space="preserve">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 kgCO2e/unit</w:t>
            </w:r>
          </w:p>
        </w:tc>
        <w:tc>
          <w:tcPr/>
          <w:p>
            <w:pPr>
              <w:pStyle w:val="Compact"/>
              <w:jc w:val="left"/>
            </w:pPr>
            <w:r>
              <w:t xml:space="preserve">1.0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 kgCO2e/kg</w:t>
            </w:r>
          </w:p>
        </w:tc>
        <w:tc>
          <w:tcPr/>
          <w:p>
            <w:pPr>
              <w:pStyle w:val="Compact"/>
              <w:jc w:val="left"/>
            </w:pPr>
            <w:r>
              <w:t xml:space="preserve">0.2</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unit</w:t>
            </w:r>
          </w:p>
        </w:tc>
        <w:tc>
          <w:tcPr/>
          <w:p>
            <w:pPr>
              <w:pStyle w:val="Compact"/>
              <w:jc w:val="left"/>
            </w:pPr>
            <w:r>
              <w:t xml:space="preserve">20.0 kgCO2e/unit</w:t>
            </w:r>
          </w:p>
        </w:tc>
        <w:tc>
          <w:tcPr/>
          <w:p>
            <w:pPr>
              <w:pStyle w:val="Compact"/>
              <w:jc w:val="left"/>
            </w:pPr>
            <w:r>
              <w:t xml:space="preserve">3.0</w:t>
            </w:r>
          </w:p>
        </w:tc>
      </w:tr>
      <w:tr>
        <w:tc>
          <w:tcPr>
            <w:gridSpan w:val="7"/>
          </w:tcPr>
          <w:p>
            <w:pPr>
              <w:pStyle w:val="Compact"/>
              <w:jc w:val="left"/>
            </w:pPr>
            <w:r>
              <w:t xml:space="preserve">Total Material Emissions (kgCO2e)</w:t>
            </w:r>
          </w:p>
        </w:tc>
        <w:tc>
          <w:tcPr/>
          <w:p>
            <w:pPr>
              <w:pStyle w:val="Compact"/>
              <w:jc w:val="left"/>
            </w:pPr>
            <w:r>
              <w:t xml:space="preserve">8.200</w:t>
            </w:r>
          </w:p>
        </w:tc>
      </w:tr>
    </w:tbl>
    <w:p>
      <w:pPr>
        <w:numPr>
          <w:ilvl w:val="0"/>
          <w:numId w:val="1000"/>
        </w:numPr>
      </w:pPr>
      <w:r>
        <w:rPr>
          <w:bCs/>
          <w:b/>
        </w:rPr>
        <w:t xml:space="preserve">Total Product Mass for Transport Calculation (Illustrative):</w:t>
      </w:r>
      <w:r>
        <w:t xml:space="preserve"> </w:t>
      </w:r>
      <w:r>
        <w:t xml:space="preserve">1.0 kg (sum of quantities from BOM, assuming units are roughly equivalent for mass impact).</w:t>
      </w:r>
    </w:p>
    <w:p>
      <w:pPr>
        <w:numPr>
          <w:ilvl w:val="0"/>
          <w:numId w:val="1000"/>
        </w:numPr>
        <w:pStyle w:val="Heading4"/>
      </w:pPr>
      <w:bookmarkStart w:id="29" w:name="production-phase-manufacturing"/>
      <w:r>
        <w:t xml:space="preserve">3.2.2. Production Phase (Manufacturing)</w:t>
      </w:r>
      <w:bookmarkEnd w:id="29"/>
    </w:p>
    <w:p>
      <w:pPr>
        <w:numPr>
          <w:ilvl w:val="1"/>
          <w:numId w:val="1004"/>
        </w:numPr>
        <w:pStyle w:val="Compact"/>
      </w:pPr>
      <w:r>
        <w:rPr>
          <w:bCs/>
          <w:b/>
        </w:rPr>
        <w:t xml:space="preserve">Energy Intensity (kWh/unit):</w:t>
      </w:r>
      <w:r>
        <w:t xml:space="preserve"> </w:t>
      </w:r>
      <w:r>
        <w:t xml:space="preserve">mprvmkszro (Illustrative value used: 10 kWh/unit)</w:t>
      </w:r>
    </w:p>
    <w:p>
      <w:pPr>
        <w:numPr>
          <w:ilvl w:val="1"/>
          <w:numId w:val="1004"/>
        </w:numPr>
        <w:pStyle w:val="Compact"/>
      </w:pPr>
      <w:r>
        <w:rPr>
          <w:bCs/>
          <w:b/>
        </w:rPr>
        <w:t xml:space="preserve">Renewable Energy Usage:</w:t>
      </w:r>
      <w:r>
        <w:t xml:space="preserve"> </w:t>
      </w:r>
      <w:r>
        <w:t xml:space="preserve">uugeuyyzrx (Illustrative value used: 40%)</w:t>
      </w:r>
    </w:p>
    <w:p>
      <w:pPr>
        <w:numPr>
          <w:ilvl w:val="1"/>
          <w:numId w:val="1004"/>
        </w:numPr>
        <w:pStyle w:val="Compact"/>
      </w:pPr>
      <w:r>
        <w:rPr>
          <w:bCs/>
          <w:b/>
        </w:rPr>
        <w:t xml:space="preserve">Non-renewable energy consumption:</w:t>
      </w:r>
      <w:r>
        <w:t xml:space="preserve"> </w:t>
      </w:r>
      <w:r>
        <w:t xml:space="preserve">10 kWh/unit * (1 - 0.40) = 6 kWh/unit</w:t>
      </w:r>
    </w:p>
    <w:p>
      <w:pPr>
        <w:numPr>
          <w:ilvl w:val="1"/>
          <w:numId w:val="1004"/>
        </w:numPr>
        <w:pStyle w:val="Compact"/>
      </w:pPr>
      <w:r>
        <w:rPr>
          <w:bCs/>
          <w:b/>
        </w:rPr>
        <w:t xml:space="preserve">Geographic Scope:</w:t>
      </w:r>
      <w:r>
        <w:t xml:space="preserve"> </w:t>
      </w:r>
      <w:r>
        <w:t xml:space="preserve">China (Final Production Country).</w:t>
      </w:r>
    </w:p>
    <w:p>
      <w:pPr>
        <w:numPr>
          <w:ilvl w:val="1"/>
          <w:numId w:val="1004"/>
        </w:numPr>
        <w:pStyle w:val="Compact"/>
      </w:pPr>
      <w:r>
        <w:rPr>
          <w:bCs/>
          <w:b/>
        </w:rPr>
        <w:t xml:space="preserve">Emission Factor for Electricity (China Grid Mix):</w:t>
      </w:r>
      <w:r>
        <w:t xml:space="preserve"> </w:t>
      </w:r>
      <w:r>
        <w:t xml:space="preserve">0.6205 kg CO2e/kWh (2023 national average)</w:t>
      </w:r>
    </w:p>
    <w:p>
      <w:pPr>
        <w:numPr>
          <w:ilvl w:val="1"/>
          <w:numId w:val="1004"/>
        </w:numPr>
        <w:pStyle w:val="Compact"/>
      </w:pPr>
      <w:r>
        <w:rPr>
          <w:bCs/>
          <w:b/>
        </w:rPr>
        <w:t xml:space="preserve">Scope 1 Emissions:</w:t>
      </w:r>
      <w:r>
        <w:t xml:space="preserve"> </w:t>
      </w:r>
      <w:r>
        <w:t xml:space="preserve">No direct fuel combustion or process emissions are explicitly provided in the parameters; therefore, Scope 1 emissions are assumed to be negligible for this product\'s manufacturing phase or covered within the \'Process\' emissions of the BOM.</w:t>
      </w:r>
    </w:p>
    <w:p>
      <w:pPr>
        <w:numPr>
          <w:ilvl w:val="0"/>
          <w:numId w:val="1000"/>
        </w:numPr>
        <w:pStyle w:val="Heading4"/>
      </w:pPr>
      <w:bookmarkStart w:id="30" w:name="X0c94b9c785b33203f11623182b988afcf60c5fd"/>
      <w:r>
        <w:t xml:space="preserve">3.2.3. Transport and Distribution (Scope 3, Category 9)</w:t>
      </w:r>
      <w:bookmarkEnd w:id="30"/>
    </w:p>
    <w:p>
      <w:pPr>
        <w:numPr>
          <w:ilvl w:val="0"/>
          <w:numId w:val="1000"/>
        </w:numPr>
      </w:pPr>
      <w:r>
        <w:t xml:space="preserve">Specific logistics data were incorporated:</w:t>
      </w:r>
    </w:p>
    <w:p>
      <w:pPr>
        <w:numPr>
          <w:ilvl w:val="1"/>
          <w:numId w:val="1005"/>
        </w:numPr>
        <w:pStyle w:val="Compact"/>
      </w:pPr>
      <w:r>
        <w:rPr>
          <w:bCs/>
          <w:b/>
        </w:rPr>
        <w:t xml:space="preserve">Transport Mode (Primary):</w:t>
      </w:r>
      <w:r>
        <w:t xml:space="preserve"> </w:t>
      </w:r>
      <w:r>
        <w:t xml:space="preserve">Select Mode (Illustrative value used: Road Freight - Articulated Lorry)</w:t>
      </w:r>
    </w:p>
    <w:p>
      <w:pPr>
        <w:numPr>
          <w:ilvl w:val="1"/>
          <w:numId w:val="1005"/>
        </w:numPr>
        <w:pStyle w:val="Compact"/>
      </w:pPr>
      <w:r>
        <w:rPr>
          <w:bCs/>
          <w:b/>
        </w:rPr>
        <w:t xml:space="preserve">Transport Distance (Primary):</w:t>
      </w:r>
      <w:r>
        <w:t xml:space="preserve"> </w:t>
      </w:r>
      <w:r>
        <w:t xml:space="preserve">keihvkrpyv (Illustrative value used: 1500 km, assuming factory to European distribution center)</w:t>
      </w:r>
    </w:p>
    <w:p>
      <w:pPr>
        <w:numPr>
          <w:ilvl w:val="1"/>
          <w:numId w:val="1005"/>
        </w:numPr>
        <w:pStyle w:val="Compact"/>
      </w:pPr>
      <w:r>
        <w:rPr>
          <w:bCs/>
          <w:b/>
        </w:rPr>
        <w:t xml:space="preserve">Last-Mile Delivery Channel:</w:t>
      </w:r>
      <w:r>
        <w:t xml:space="preserve"> </w:t>
      </w:r>
      <w:r>
        <w:t xml:space="preserve">Delivery Type (Illustrative value used: Light Commercial Vehicle)</w:t>
      </w:r>
    </w:p>
    <w:p>
      <w:pPr>
        <w:numPr>
          <w:ilvl w:val="1"/>
          <w:numId w:val="1005"/>
        </w:numPr>
        <w:pStyle w:val="Compact"/>
      </w:pPr>
      <w:r>
        <w:rPr>
          <w:bCs/>
          <w:b/>
        </w:rPr>
        <w:t xml:space="preserve">Last-Mile Delivery Distance (Assumed):</w:t>
      </w:r>
      <w:r>
        <w:t xml:space="preserve"> </w:t>
      </w:r>
      <w:r>
        <w:t xml:space="preserve">100 km</w:t>
      </w:r>
    </w:p>
    <w:p>
      <w:pPr>
        <w:numPr>
          <w:ilvl w:val="1"/>
          <w:numId w:val="1005"/>
        </w:numPr>
        <w:pStyle w:val="Compact"/>
      </w:pPr>
      <w:r>
        <w:rPr>
          <w:bCs/>
          <w:b/>
        </w:rPr>
        <w:t xml:space="preserve">Emission Factor (Road Freight, Articulated Lorry):</w:t>
      </w:r>
      <w:r>
        <w:t xml:space="preserve"> </w:t>
      </w:r>
      <w:r>
        <w:t xml:space="preserve">0.129 kg CO2e/tkm</w:t>
      </w:r>
    </w:p>
    <w:p>
      <w:pPr>
        <w:numPr>
          <w:ilvl w:val="1"/>
          <w:numId w:val="1005"/>
        </w:numPr>
        <w:pStyle w:val="Compact"/>
      </w:pPr>
      <w:r>
        <w:rPr>
          <w:bCs/>
          <w:b/>
        </w:rPr>
        <w:t xml:space="preserve">Emission Factor (Light Commercial Vehicle):</w:t>
      </w:r>
      <w:r>
        <w:t xml:space="preserve"> </w:t>
      </w:r>
      <w:r>
        <w:t xml:space="preserve">0.245 kg CO2e/tkm</w:t>
      </w:r>
    </w:p>
    <w:p>
      <w:pPr>
        <w:numPr>
          <w:ilvl w:val="0"/>
          <w:numId w:val="1000"/>
        </w:numPr>
        <w:pStyle w:val="Heading4"/>
      </w:pPr>
      <w:bookmarkStart w:id="31" w:name="X01fffecb4d51cf9638741502492363d57dc681a"/>
      <w:r>
        <w:t xml:space="preserve">3.2.4. Use Phase (Downstream - Scope 3, Category 11)</w:t>
      </w:r>
      <w:bookmarkEnd w:id="31"/>
    </w:p>
    <w:p>
      <w:pPr>
        <w:numPr>
          <w:ilvl w:val="0"/>
          <w:numId w:val="1000"/>
        </w:numPr>
      </w:pPr>
      <w:r>
        <w:t xml:space="preserve">Durability and consumption data were used for the use phase:</w:t>
      </w:r>
    </w:p>
    <w:p>
      <w:pPr>
        <w:numPr>
          <w:ilvl w:val="1"/>
          <w:numId w:val="1006"/>
        </w:numPr>
        <w:pStyle w:val="Compact"/>
      </w:pPr>
      <w:r>
        <w:rPr>
          <w:bCs/>
          <w:b/>
        </w:rPr>
        <w:t xml:space="preserve">Product Lifespan:</w:t>
      </w:r>
      <w:r>
        <w:t xml:space="preserve"> </w:t>
      </w:r>
      <w:r>
        <w:t xml:space="preserve">zdhrfeyfnt (Illustrative value used: 5 years)</w:t>
      </w:r>
    </w:p>
    <w:p>
      <w:pPr>
        <w:numPr>
          <w:ilvl w:val="1"/>
          <w:numId w:val="1006"/>
        </w:numPr>
        <w:pStyle w:val="Compact"/>
      </w:pPr>
      <w:r>
        <w:rPr>
          <w:bCs/>
          <w:b/>
        </w:rPr>
        <w:t xml:space="preserve">Energy Consumption in Use:</w:t>
      </w:r>
      <w:r>
        <w:t xml:space="preserve"> </w:t>
      </w:r>
      <w:r>
        <w:t xml:space="preserve">jxoodusuwi (Illustrative value used: 5 kWh/year)</w:t>
      </w:r>
    </w:p>
    <w:p>
      <w:pPr>
        <w:numPr>
          <w:ilvl w:val="1"/>
          <w:numId w:val="1006"/>
        </w:numPr>
        <w:pStyle w:val="Compact"/>
      </w:pPr>
      <w:r>
        <w:rPr>
          <w:bCs/>
          <w:b/>
        </w:rPr>
        <w:t xml:space="preserve">Total energy consumption over lifespan:</w:t>
      </w:r>
      <w:r>
        <w:t xml:space="preserve"> </w:t>
      </w:r>
      <w:r>
        <w:t xml:space="preserve">5 kWh/year * 5 years = 25 kWh</w:t>
      </w:r>
    </w:p>
    <w:p>
      <w:pPr>
        <w:numPr>
          <w:ilvl w:val="1"/>
          <w:numId w:val="1006"/>
        </w:numPr>
        <w:pStyle w:val="Compact"/>
      </w:pPr>
      <w:r>
        <w:rPr>
          <w:bCs/>
          <w:b/>
        </w:rPr>
        <w:t xml:space="preserve">Emission Factor for Electricity (Europe Average Grid Mix for Use Phase):</w:t>
      </w:r>
      <w:r>
        <w:t xml:space="preserve"> </w:t>
      </w:r>
      <w:r>
        <w:t xml:space="preserve">0.181 kg CO2e/kWh (2024 EU average)</w:t>
      </w:r>
    </w:p>
    <w:p>
      <w:pPr>
        <w:numPr>
          <w:ilvl w:val="0"/>
          <w:numId w:val="1000"/>
        </w:numPr>
        <w:pStyle w:val="Heading4"/>
      </w:pPr>
      <w:bookmarkStart w:id="32" w:name="X7f89d00135b2cb99d8b0d40c8751bd2d45ee8b9"/>
      <w:r>
        <w:t xml:space="preserve">3.2.5. End-of-Life (EoL) (Downstream - Scope 3, Category 12)</w:t>
      </w:r>
      <w:bookmarkEnd w:id="32"/>
    </w:p>
    <w:p>
      <w:pPr>
        <w:numPr>
          <w:ilvl w:val="0"/>
          <w:numId w:val="1000"/>
        </w:numPr>
      </w:pPr>
      <w:r>
        <w:t xml:space="preserve">End-of-Life scenarios were incorporated to reflect circular economy impacts:</w:t>
      </w:r>
    </w:p>
    <w:p>
      <w:pPr>
        <w:numPr>
          <w:ilvl w:val="1"/>
          <w:numId w:val="1007"/>
        </w:numPr>
        <w:pStyle w:val="Compact"/>
      </w:pPr>
      <w:r>
        <w:rPr>
          <w:bCs/>
          <w:b/>
        </w:rPr>
        <w:t xml:space="preserve">Recyclability Percentage:</w:t>
      </w:r>
      <w:r>
        <w:t xml:space="preserve"> </w:t>
      </w:r>
      <w:r>
        <w:t xml:space="preserve">okoxzyyuqd (Illustrative value used: 70%)</w:t>
      </w:r>
    </w:p>
    <w:p>
      <w:pPr>
        <w:numPr>
          <w:ilvl w:val="1"/>
          <w:numId w:val="1007"/>
        </w:numPr>
        <w:pStyle w:val="Compact"/>
      </w:pPr>
      <w:r>
        <w:rPr>
          <w:bCs/>
          <w:b/>
        </w:rPr>
        <w:t xml:space="preserve">Circular/Take-back Programs:</w:t>
      </w:r>
      <w:r>
        <w:t xml:space="preserve"> </w:t>
      </w:r>
      <w:r>
        <w:t xml:space="preserve">losselxxjm (Illustrative value used: Yes)</w:t>
      </w:r>
    </w:p>
    <w:p>
      <w:pPr>
        <w:numPr>
          <w:ilvl w:val="1"/>
          <w:numId w:val="1007"/>
        </w:numPr>
        <w:pStyle w:val="Compact"/>
      </w:pPr>
      <w:r>
        <w:rPr>
          <w:bCs/>
          <w:b/>
        </w:rPr>
        <w:t xml:space="preserve">EoL impact calculation:</w:t>
      </w:r>
      <w:r>
        <w:t xml:space="preserve"> </w:t>
      </w:r>
      <w:r>
        <w:t xml:space="preserve">A simplified credit approach is applied where the recyclable portion of the product avoids primary material production emissions. An illustrative avoidance factor of 50% for material emissions is used for the recyclable percentage. The presence of circular programs would further optimize EoL management.</w:t>
      </w:r>
    </w:p>
    <w:p>
      <w:pPr>
        <w:numPr>
          <w:ilvl w:val="0"/>
          <w:numId w:val="1002"/>
        </w:numPr>
        <w:pStyle w:val="Heading3"/>
      </w:pPr>
      <w:bookmarkStart w:id="33" w:name="Xb404f6bea4a0013006ec7a9103609d9ea6643c1"/>
      <w:r>
        <w:t xml:space="preserve">Calculate Emissions (Activity * Emission Factor = CO2e)</w:t>
      </w:r>
      <w:bookmarkEnd w:id="33"/>
    </w:p>
    <w:p>
      <w:pPr>
        <w:numPr>
          <w:ilvl w:val="0"/>
          <w:numId w:val="1000"/>
        </w:numPr>
      </w:pPr>
      <w:r>
        <w:t xml:space="preserve">Emissions for each stage were calculated by multiplying activity data with relevant industry-standard emission factors (e.g., from Ecoinvent/DEFRA equivalents).</w:t>
      </w:r>
    </w:p>
    <w:p>
      <w:pPr>
        <w:numPr>
          <w:ilvl w:val="0"/>
          <w:numId w:val="1000"/>
        </w:numPr>
        <w:pStyle w:val="Heading4"/>
      </w:pPr>
      <w:bookmarkStart w:id="34" w:name="emissions-summary-by-lifecycle-stage"/>
      <w:r>
        <w:t xml:space="preserve">4.3.1. Emissions Summary by Lifecycle Stage</w:t>
      </w:r>
      <w:bookmarkEnd w:id="34"/>
    </w:p>
    <w:tbl>
      <w:tblPr>
        <w:tblStyle w:val="Table"/>
        <w:tblW w:type="auto" w:w="0"/>
        <w:tblLook w:firstRow="1" w:lastRow="0" w:firstColumn="0" w:lastColumn="0" w:noHBand="0" w:noVBand="0" w:val="0020"/>
        <w:jc w:val="start"/>
        <w:tblInd w:w="720" w:type="dxa"/>
      </w:tblPr>
      <w:tblGrid>
        <w:gridCol w:w="1320"/>
        <w:gridCol w:w="1320"/>
        <w:gridCol w:w="1320"/>
        <w:gridCol w:w="1320"/>
        <w:gridCol w:w="1320"/>
        <w:gridCol w:w="132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GHG Protocol Category</w:t>
            </w:r>
          </w:p>
        </w:tc>
        <w:tc>
          <w:tcPr/>
          <w:p>
            <w:pPr>
              <w:pStyle w:val="Compact"/>
              <w:jc w:val="left"/>
            </w:pPr>
            <w:r>
              <w:t xml:space="preserve">Activity Data (Illustrative)</w:t>
            </w:r>
          </w:p>
        </w:tc>
        <w:tc>
          <w:tcPr/>
          <w:p>
            <w:pPr>
              <w:pStyle w:val="Compact"/>
              <w:jc w:val="left"/>
            </w:pPr>
            <w:r>
              <w:t xml:space="preserve">Emission Factor</w:t>
            </w:r>
          </w:p>
        </w:tc>
        <w:tc>
          <w:tcPr/>
          <w:p>
            <w:pPr>
              <w:pStyle w:val="Compact"/>
              <w:jc w:val="left"/>
            </w:pPr>
            <w:r>
              <w:t xml:space="preserve">CO2e per Unit (kg)</w:t>
            </w:r>
          </w:p>
        </w:tc>
      </w:tr>
      <w:tr>
        <w:tc>
          <w:tcPr/>
          <w:p>
            <w:pPr>
              <w:pStyle w:val="Compact"/>
              <w:jc w:val="left"/>
            </w:pPr>
            <w:r>
              <w:t xml:space="preserve">Material Acquisition &amp; Pre-processing</w:t>
            </w:r>
          </w:p>
        </w:tc>
        <w:tc>
          <w:tcPr/>
          <w:p>
            <w:pPr>
              <w:pStyle w:val="Compact"/>
              <w:jc w:val="left"/>
            </w:pPr>
            <w:r>
              <w:t xml:space="preserve">Scope 3</w:t>
            </w:r>
          </w:p>
        </w:tc>
        <w:tc>
          <w:tcPr/>
          <w:p>
            <w:pPr>
              <w:pStyle w:val="Compact"/>
              <w:jc w:val="left"/>
            </w:pPr>
            <w:r>
              <w:t xml:space="preserve">Category 1: Purchased goods and services</w:t>
            </w:r>
          </w:p>
        </w:tc>
        <w:tc>
          <w:tcPr/>
          <w:p>
            <w:pPr>
              <w:pStyle w:val="Compact"/>
              <w:jc w:val="left"/>
            </w:pPr>
            <w:r>
              <w:t xml:space="preserve">Sum of BOM Total Carbon</w:t>
            </w:r>
          </w:p>
        </w:tc>
        <w:tc>
          <w:tcPr/>
          <w:p>
            <w:pPr>
              <w:pStyle w:val="Compact"/>
              <w:jc w:val="left"/>
            </w:pPr>
            <w:r>
              <w:t xml:space="preserve">N/A (embedded)</w:t>
            </w:r>
          </w:p>
        </w:tc>
        <w:tc>
          <w:tcPr/>
          <w:p>
            <w:pPr>
              <w:pStyle w:val="Compact"/>
              <w:jc w:val="left"/>
            </w:pPr>
            <w:r>
              <w:t xml:space="preserve">8.200</w:t>
            </w:r>
          </w:p>
        </w:tc>
      </w:tr>
      <w:tr>
        <w:tc>
          <w:tcPr/>
          <w:p>
            <w:pPr>
              <w:pStyle w:val="Compact"/>
              <w:jc w:val="left"/>
            </w:pPr>
            <w:r>
              <w:t xml:space="preserve">Manufacturing (Electricity)</w:t>
            </w:r>
          </w:p>
        </w:tc>
        <w:tc>
          <w:tcPr/>
          <w:p>
            <w:pPr>
              <w:pStyle w:val="Compact"/>
              <w:jc w:val="left"/>
            </w:pPr>
            <w:r>
              <w:t xml:space="preserve">Scope 2</w:t>
            </w:r>
          </w:p>
        </w:tc>
        <w:tc>
          <w:tcPr/>
          <w:p>
            <w:pPr>
              <w:pStyle w:val="Compact"/>
              <w:jc w:val="left"/>
            </w:pPr>
            <w:r>
              <w:t xml:space="preserve">N/A (Purchased Electricity)</w:t>
            </w:r>
          </w:p>
        </w:tc>
        <w:tc>
          <w:tcPr/>
          <w:p>
            <w:pPr>
              <w:pStyle w:val="Compact"/>
              <w:jc w:val="left"/>
            </w:pPr>
            <w:r>
              <w:t xml:space="preserve">6 kWh/unit (non-renewable)</w:t>
            </w:r>
          </w:p>
        </w:tc>
        <w:tc>
          <w:tcPr/>
          <w:p>
            <w:pPr>
              <w:pStyle w:val="Compact"/>
              <w:jc w:val="left"/>
            </w:pPr>
            <w:r>
              <w:t xml:space="preserve">0.6205 kgCO2e/kWh</w:t>
            </w:r>
          </w:p>
        </w:tc>
        <w:tc>
          <w:tcPr/>
          <w:p>
            <w:pPr>
              <w:pStyle w:val="Compact"/>
              <w:jc w:val="left"/>
            </w:pPr>
            <w:r>
              <w:t xml:space="preserve">3.723</w:t>
            </w:r>
          </w:p>
        </w:tc>
      </w:tr>
      <w:tr>
        <w:tc>
          <w:tcPr/>
          <w:p>
            <w:pPr>
              <w:pStyle w:val="Compact"/>
              <w:jc w:val="left"/>
            </w:pPr>
            <w:r>
              <w:t xml:space="preserve">Primary Transport</w:t>
            </w:r>
          </w:p>
        </w:tc>
        <w:tc>
          <w:tcPr/>
          <w:p>
            <w:pPr>
              <w:pStyle w:val="Compact"/>
              <w:jc w:val="left"/>
            </w:pPr>
            <w:r>
              <w:t xml:space="preserve">Scope 3</w:t>
            </w:r>
          </w:p>
        </w:tc>
        <w:tc>
          <w:tcPr/>
          <w:p>
            <w:pPr>
              <w:pStyle w:val="Compact"/>
              <w:jc w:val="left"/>
            </w:pPr>
            <w:r>
              <w:t xml:space="preserve">Category 9: Downstream transportation and distribution</w:t>
            </w:r>
          </w:p>
        </w:tc>
        <w:tc>
          <w:tcPr/>
          <w:p>
            <w:pPr>
              <w:pStyle w:val="Compact"/>
              <w:jc w:val="left"/>
            </w:pPr>
            <w:r>
              <w:t xml:space="preserve">1.0 kg * 1500 km</w:t>
            </w:r>
          </w:p>
        </w:tc>
        <w:tc>
          <w:tcPr/>
          <w:p>
            <w:pPr>
              <w:pStyle w:val="Compact"/>
              <w:jc w:val="left"/>
            </w:pPr>
            <w:r>
              <w:t xml:space="preserve">0.129 kgCO2e/tkm</w:t>
            </w:r>
          </w:p>
        </w:tc>
        <w:tc>
          <w:tcPr/>
          <w:p>
            <w:pPr>
              <w:pStyle w:val="Compact"/>
              <w:jc w:val="left"/>
            </w:pPr>
            <w:r>
              <w:t xml:space="preserve">0.1935</w:t>
            </w:r>
          </w:p>
        </w:tc>
      </w:tr>
      <w:tr>
        <w:tc>
          <w:tcPr/>
          <w:p>
            <w:pPr>
              <w:pStyle w:val="Compact"/>
              <w:jc w:val="left"/>
            </w:pPr>
            <w:r>
              <w:t xml:space="preserve">Last-Mile Delivery</w:t>
            </w:r>
          </w:p>
        </w:tc>
        <w:tc>
          <w:tcPr/>
          <w:p>
            <w:pPr>
              <w:pStyle w:val="Compact"/>
              <w:jc w:val="left"/>
            </w:pPr>
            <w:r>
              <w:t xml:space="preserve">Scope 3</w:t>
            </w:r>
          </w:p>
        </w:tc>
        <w:tc>
          <w:tcPr/>
          <w:p>
            <w:pPr>
              <w:pStyle w:val="Compact"/>
              <w:jc w:val="left"/>
            </w:pPr>
            <w:r>
              <w:t xml:space="preserve">Category 9: Downstream transportation and distribution</w:t>
            </w:r>
          </w:p>
        </w:tc>
        <w:tc>
          <w:tcPr/>
          <w:p>
            <w:pPr>
              <w:pStyle w:val="Compact"/>
              <w:jc w:val="left"/>
            </w:pPr>
            <w:r>
              <w:t xml:space="preserve">1.0 kg * 100 km</w:t>
            </w:r>
          </w:p>
        </w:tc>
        <w:tc>
          <w:tcPr/>
          <w:p>
            <w:pPr>
              <w:pStyle w:val="Compact"/>
              <w:jc w:val="left"/>
            </w:pPr>
            <w:r>
              <w:t xml:space="preserve">0.245 kgCO2e/tkm</w:t>
            </w:r>
          </w:p>
        </w:tc>
        <w:tc>
          <w:tcPr/>
          <w:p>
            <w:pPr>
              <w:pStyle w:val="Compact"/>
              <w:jc w:val="left"/>
            </w:pPr>
            <w:r>
              <w:t xml:space="preserve">0.0245</w:t>
            </w:r>
          </w:p>
        </w:tc>
      </w:tr>
      <w:tr>
        <w:tc>
          <w:tcPr/>
          <w:p>
            <w:pPr>
              <w:pStyle w:val="Compact"/>
              <w:jc w:val="left"/>
            </w:pPr>
            <w:r>
              <w:t xml:space="preserve">Use Phase (Energy Consumption)</w:t>
            </w:r>
          </w:p>
        </w:tc>
        <w:tc>
          <w:tcPr/>
          <w:p>
            <w:pPr>
              <w:pStyle w:val="Compact"/>
              <w:jc w:val="left"/>
            </w:pPr>
            <w:r>
              <w:t xml:space="preserve">Scope 3</w:t>
            </w:r>
          </w:p>
        </w:tc>
        <w:tc>
          <w:tcPr/>
          <w:p>
            <w:pPr>
              <w:pStyle w:val="Compact"/>
              <w:jc w:val="left"/>
            </w:pPr>
            <w:r>
              <w:t xml:space="preserve">Category 11: Use of sold products</w:t>
            </w:r>
          </w:p>
        </w:tc>
        <w:tc>
          <w:tcPr/>
          <w:p>
            <w:pPr>
              <w:pStyle w:val="Compact"/>
              <w:jc w:val="left"/>
            </w:pPr>
            <w:r>
              <w:t xml:space="preserve">25 kWh (over lifespan)</w:t>
            </w:r>
          </w:p>
        </w:tc>
        <w:tc>
          <w:tcPr/>
          <w:p>
            <w:pPr>
              <w:pStyle w:val="Compact"/>
              <w:jc w:val="left"/>
            </w:pPr>
            <w:r>
              <w:t xml:space="preserve">0.181 kgCO2e/kWh</w:t>
            </w:r>
          </w:p>
        </w:tc>
        <w:tc>
          <w:tcPr/>
          <w:p>
            <w:pPr>
              <w:pStyle w:val="Compact"/>
              <w:jc w:val="left"/>
            </w:pPr>
            <w:r>
              <w:t xml:space="preserve">4.525</w:t>
            </w:r>
          </w:p>
        </w:tc>
      </w:tr>
      <w:tr>
        <w:tc>
          <w:tcPr/>
          <w:p>
            <w:pPr>
              <w:pStyle w:val="Compact"/>
              <w:jc w:val="left"/>
            </w:pPr>
            <w:r>
              <w:t xml:space="preserve">End-of-Life (Recycling Credit)</w:t>
            </w:r>
          </w:p>
        </w:tc>
        <w:tc>
          <w:tcPr/>
          <w:p>
            <w:pPr>
              <w:pStyle w:val="Compact"/>
              <w:jc w:val="left"/>
            </w:pPr>
            <w:r>
              <w:t xml:space="preserve">Scope 3</w:t>
            </w:r>
          </w:p>
        </w:tc>
        <w:tc>
          <w:tcPr/>
          <w:p>
            <w:pPr>
              <w:pStyle w:val="Compact"/>
              <w:jc w:val="left"/>
            </w:pPr>
            <w:r>
              <w:t xml:space="preserve">Category 12: End-of-life treatment of sold products</w:t>
            </w:r>
          </w:p>
        </w:tc>
        <w:tc>
          <w:tcPr/>
          <w:p>
            <w:pPr>
              <w:pStyle w:val="Compact"/>
              <w:jc w:val="left"/>
            </w:pPr>
            <w:r>
              <w:t xml:space="preserve">70% recyclability, 50% avoidance factor on material emissions</w:t>
            </w:r>
          </w:p>
        </w:tc>
        <w:tc>
          <w:tcPr/>
          <w:p>
            <w:pPr>
              <w:pStyle w:val="Compact"/>
              <w:jc w:val="left"/>
            </w:pPr>
            <w:r>
              <w:t xml:space="preserve">-0.5 * 8.200 kgCO2e * 0.70</w:t>
            </w:r>
          </w:p>
        </w:tc>
        <w:tc>
          <w:tcPr/>
          <w:p>
            <w:pPr>
              <w:pStyle w:val="Compact"/>
              <w:jc w:val="left"/>
            </w:pPr>
            <w:r>
              <w:t xml:space="preserve">-2.870</w:t>
            </w:r>
          </w:p>
        </w:tc>
      </w:tr>
      <w:tr>
        <w:tc>
          <w:tcPr>
            <w:gridSpan w:val="5"/>
          </w:tcPr>
          <w:p>
            <w:pPr>
              <w:pStyle w:val="Compact"/>
              <w:jc w:val="left"/>
            </w:pPr>
            <w:r>
              <w:rPr>
                <w:bCs/>
                <w:b/>
              </w:rPr>
              <w:t xml:space="preserve">TOTAL PRODUCT CARBON FOOTPRINT (per unit)</w:t>
            </w:r>
          </w:p>
        </w:tc>
        <w:tc>
          <w:tcPr/>
          <w:p>
            <w:pPr>
              <w:pStyle w:val="Compact"/>
              <w:jc w:val="left"/>
            </w:pPr>
            <w:r>
              <w:rPr>
                <w:bCs/>
                <w:b/>
              </w:rPr>
              <w:t xml:space="preserve">13.796</w:t>
            </w:r>
          </w:p>
        </w:tc>
      </w:tr>
    </w:tbl>
    <w:p>
      <w:pPr>
        <w:numPr>
          <w:ilvl w:val="0"/>
          <w:numId w:val="1000"/>
        </w:numPr>
      </w:pPr>
      <w:r>
        <w:rPr>
          <w:iCs/>
          <w:i/>
        </w:rPr>
        <w:t xml:space="preserve">Note: All calculations are based on the illustrative values provided for the placeholder parameters.</w:t>
      </w:r>
    </w:p>
    <w:p>
      <w:pPr>
        <w:numPr>
          <w:ilvl w:val="0"/>
          <w:numId w:val="1000"/>
        </w:numPr>
        <w:pStyle w:val="Heading4"/>
      </w:pPr>
      <w:bookmarkStart w:id="35" w:name="X46853a1f8172270e9f00252ab619f406734bbd6"/>
      <w:r>
        <w:t xml:space="preserve">4.3.2. Emissions Categorization by GHG Protocol Scope</w:t>
      </w:r>
      <w:bookmarkEnd w:id="35"/>
    </w:p>
    <w:tbl>
      <w:tblPr>
        <w:tblStyle w:val="Table"/>
        <w:tblW w:type="auto" w:w="0"/>
        <w:tblLook w:firstRow="1" w:lastRow="0" w:firstColumn="0" w:lastColumn="0" w:noHBand="0" w:noVBand="0" w:val="0020"/>
        <w:jc w:val="start"/>
        <w:tblInd w:w="720" w:type="dxa"/>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Total CO2e (kg) per Unit</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Direct emissions from owned or controlled sources.</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Indirect emissions from purchased electricity for manufacturing.</w:t>
            </w:r>
          </w:p>
        </w:tc>
        <w:tc>
          <w:tcPr/>
          <w:p>
            <w:pPr>
              <w:pStyle w:val="Compact"/>
              <w:jc w:val="left"/>
            </w:pPr>
            <w:r>
              <w:t xml:space="preserve">3.723</w:t>
            </w:r>
          </w:p>
        </w:tc>
        <w:tc>
          <w:tcPr/>
          <w:p>
            <w:pPr>
              <w:pStyle w:val="Compact"/>
              <w:jc w:val="left"/>
            </w:pPr>
            <w:r>
              <w:t xml:space="preserve">27.00%</w:t>
            </w:r>
          </w:p>
        </w:tc>
      </w:tr>
      <w:tr>
        <w:tc>
          <w:tcPr/>
          <w:p>
            <w:pPr>
              <w:pStyle w:val="Compact"/>
              <w:jc w:val="left"/>
            </w:pPr>
            <w:r>
              <w:t xml:space="preserve">Scope 3</w:t>
            </w:r>
          </w:p>
        </w:tc>
        <w:tc>
          <w:tcPr/>
          <w:p>
            <w:pPr>
              <w:pStyle w:val="Compact"/>
              <w:jc w:val="left"/>
            </w:pPr>
            <w:r>
              <w:t xml:space="preserve">All other indirect emissions across the value chain.</w:t>
            </w:r>
          </w:p>
        </w:tc>
        <w:tc>
          <w:tcPr/>
          <w:p>
            <w:pPr>
              <w:pStyle w:val="Compact"/>
              <w:jc w:val="left"/>
            </w:pPr>
            <w:r>
              <w:t xml:space="preserve">10.073</w:t>
            </w:r>
          </w:p>
        </w:tc>
        <w:tc>
          <w:tcPr/>
          <w:p>
            <w:pPr>
              <w:pStyle w:val="Compact"/>
              <w:jc w:val="left"/>
            </w:pPr>
            <w:r>
              <w:t xml:space="preserve">73.00%</w:t>
            </w:r>
          </w:p>
        </w:tc>
      </w:tr>
      <w:tr>
        <w:tc>
          <w:tcPr>
            <w:gridSpan w:val="2"/>
          </w:tcPr>
          <w:p>
            <w:pPr>
              <w:pStyle w:val="Compact"/>
              <w:jc w:val="left"/>
            </w:pPr>
            <w:r>
              <w:rPr>
                <w:bCs/>
                <w:b/>
              </w:rPr>
              <w:t xml:space="preserve">TOTAL PRODUCT CARBON FOOTPRINT</w:t>
            </w:r>
          </w:p>
        </w:tc>
        <w:tc>
          <w:tcPr/>
          <w:p>
            <w:pPr>
              <w:pStyle w:val="Compact"/>
              <w:jc w:val="left"/>
            </w:pPr>
            <w:r>
              <w:rPr>
                <w:bCs/>
                <w:b/>
              </w:rPr>
              <w:t xml:space="preserve">13.796</w:t>
            </w:r>
          </w:p>
        </w:tc>
        <w:tc>
          <w:tcPr/>
          <w:p>
            <w:pPr>
              <w:pStyle w:val="Compact"/>
              <w:jc w:val="left"/>
            </w:pPr>
            <w:r>
              <w:rPr>
                <w:bCs/>
                <w:b/>
              </w:rPr>
              <w:t xml:space="preserve">100.00%</w:t>
            </w:r>
          </w:p>
        </w:tc>
      </w:tr>
    </w:tbl>
    <w:p>
      <w:pPr>
        <w:numPr>
          <w:ilvl w:val="0"/>
          <w:numId w:val="1000"/>
        </w:numPr>
        <w:pStyle w:val="Heading4"/>
      </w:pPr>
      <w:bookmarkStart w:id="36" w:name="scope-3-breakdown-by-category"/>
      <w:r>
        <w:t xml:space="preserve">4.3.3. Scope 3 Breakdown by Category</w:t>
      </w:r>
      <w:bookmarkEnd w:id="36"/>
    </w:p>
    <w:p>
      <w:pPr>
        <w:numPr>
          <w:ilvl w:val="0"/>
          <w:numId w:val="1000"/>
        </w:numPr>
      </w:pPr>
      <w:r>
        <w:t xml:space="preserve">A detailed breakdown of Scope 3 emissions demonstrating the 95% coverage requirement.</w:t>
      </w:r>
    </w:p>
    <w:tbl>
      <w:tblPr>
        <w:tblStyle w:val="Table"/>
        <w:tblW w:type="auto" w:w="0"/>
        <w:tblLook w:firstRow="1" w:lastRow="0" w:firstColumn="0" w:lastColumn="0" w:noHBand="0" w:noVBand="0" w:val="0020"/>
        <w:jc w:val="start"/>
        <w:tblInd w:w="720" w:type="dxa"/>
      </w:tblPr>
      <w:tblGrid>
        <w:gridCol w:w="2640"/>
        <w:gridCol w:w="2640"/>
        <w:gridCol w:w="2640"/>
      </w:tblGrid>
      <w:tr>
        <w:trPr>
          <w:tblHeader w:val="true"/>
        </w:trPr>
        <w:tc>
          <w:tcPr/>
          <w:p>
            <w:pPr>
              <w:pStyle w:val="Compact"/>
              <w:jc w:val="left"/>
            </w:pPr>
            <w:r>
              <w:t xml:space="preserve">Scope 3 Category</w:t>
            </w:r>
          </w:p>
        </w:tc>
        <w:tc>
          <w:tcPr/>
          <w:p>
            <w:pPr>
              <w:pStyle w:val="Compact"/>
              <w:jc w:val="left"/>
            </w:pPr>
            <w:r>
              <w:t xml:space="preserve">Description</w:t>
            </w:r>
          </w:p>
        </w:tc>
        <w:tc>
          <w:tcPr/>
          <w:p>
            <w:pPr>
              <w:pStyle w:val="Compact"/>
              <w:jc w:val="left"/>
            </w:pPr>
            <w:r>
              <w:t xml:space="preserve">CO2e (kg) per Unit</w:t>
            </w:r>
          </w:p>
        </w:tc>
      </w:tr>
      <w:tr>
        <w:tc>
          <w:tcPr/>
          <w:p>
            <w:pPr>
              <w:pStyle w:val="Compact"/>
              <w:jc w:val="left"/>
            </w:pPr>
            <w:r>
              <w:t xml:space="preserve">Category 1: Purchased goods and services</w:t>
            </w:r>
          </w:p>
        </w:tc>
        <w:tc>
          <w:tcPr/>
          <w:p>
            <w:pPr>
              <w:pStyle w:val="Compact"/>
              <w:jc w:val="left"/>
            </w:pPr>
            <w:r>
              <w:t xml:space="preserve">Emissions from the extraction, production, and pre-processing of raw materials (ugdjwifv).</w:t>
            </w:r>
          </w:p>
        </w:tc>
        <w:tc>
          <w:tcPr/>
          <w:p>
            <w:pPr>
              <w:pStyle w:val="Compact"/>
              <w:jc w:val="left"/>
            </w:pPr>
            <w:r>
              <w:t xml:space="preserve">8.200</w:t>
            </w:r>
          </w:p>
        </w:tc>
      </w:tr>
      <w:tr>
        <w:tc>
          <w:tcPr/>
          <w:p>
            <w:pPr>
              <w:pStyle w:val="Compact"/>
              <w:jc w:val="left"/>
            </w:pPr>
            <w:r>
              <w:t xml:space="preserve">Category 9: Downstream transportation and distribution</w:t>
            </w:r>
          </w:p>
        </w:tc>
        <w:tc>
          <w:tcPr/>
          <w:p>
            <w:pPr>
              <w:pStyle w:val="Compact"/>
              <w:jc w:val="left"/>
            </w:pPr>
            <w:r>
              <w:t xml:space="preserve">Emissions from the transportation of the finished product to the customer.</w:t>
            </w:r>
          </w:p>
        </w:tc>
        <w:tc>
          <w:tcPr/>
          <w:p>
            <w:pPr>
              <w:pStyle w:val="Compact"/>
              <w:jc w:val="left"/>
            </w:pPr>
            <w:r>
              <w:t xml:space="preserve">0.218</w:t>
            </w:r>
          </w:p>
        </w:tc>
      </w:tr>
      <w:tr>
        <w:tc>
          <w:tcPr/>
          <w:p>
            <w:pPr>
              <w:pStyle w:val="Compact"/>
              <w:jc w:val="left"/>
            </w:pPr>
            <w:r>
              <w:t xml:space="preserve">Category 11: Use of sold products</w:t>
            </w:r>
          </w:p>
        </w:tc>
        <w:tc>
          <w:tcPr/>
          <w:p>
            <w:pPr>
              <w:pStyle w:val="Compact"/>
              <w:jc w:val="left"/>
            </w:pPr>
            <w:r>
              <w:t xml:space="preserve">Emissions from the energy consumption during the product\'s lifespan (jxoodusuwi over zdhrfeyfnt).</w:t>
            </w:r>
          </w:p>
        </w:tc>
        <w:tc>
          <w:tcPr/>
          <w:p>
            <w:pPr>
              <w:pStyle w:val="Compact"/>
              <w:jc w:val="left"/>
            </w:pPr>
            <w:r>
              <w:t xml:space="preserve">4.525</w:t>
            </w:r>
          </w:p>
        </w:tc>
      </w:tr>
      <w:tr>
        <w:tc>
          <w:tcPr/>
          <w:p>
            <w:pPr>
              <w:pStyle w:val="Compact"/>
              <w:jc w:val="left"/>
            </w:pPr>
            <w:r>
              <w:t xml:space="preserve">Category 12: End-of-life treatment of sold products</w:t>
            </w:r>
          </w:p>
        </w:tc>
        <w:tc>
          <w:tcPr/>
          <w:p>
            <w:pPr>
              <w:pStyle w:val="Compact"/>
              <w:jc w:val="left"/>
            </w:pPr>
            <w:r>
              <w:t xml:space="preserve">Emissions and credits associated with the disposal and recycling of the product (okoxzyyuqd, losselxxjm).</w:t>
            </w:r>
          </w:p>
        </w:tc>
        <w:tc>
          <w:tcPr/>
          <w:p>
            <w:pPr>
              <w:pStyle w:val="Compact"/>
              <w:jc w:val="left"/>
            </w:pPr>
            <w:r>
              <w:t xml:space="preserve">-2.870</w:t>
            </w:r>
          </w:p>
        </w:tc>
      </w:tr>
      <w:tr>
        <w:tc>
          <w:tcPr>
            <w:gridSpan w:val="2"/>
          </w:tcPr>
          <w:p>
            <w:pPr>
              <w:pStyle w:val="Compact"/>
              <w:jc w:val="left"/>
            </w:pPr>
            <w:r>
              <w:rPr>
                <w:bCs/>
                <w:b/>
              </w:rPr>
              <w:t xml:space="preserve">Total Scope 3 Emissions</w:t>
            </w:r>
          </w:p>
        </w:tc>
        <w:tc>
          <w:tcPr/>
          <w:p>
            <w:pPr>
              <w:pStyle w:val="Compact"/>
              <w:jc w:val="left"/>
            </w:pPr>
            <w:r>
              <w:rPr>
                <w:bCs/>
                <w:b/>
              </w:rPr>
              <w:t xml:space="preserve">10.073</w:t>
            </w:r>
          </w:p>
        </w:tc>
      </w:tr>
    </w:tbl>
    <w:p>
      <w:pPr>
        <w:numPr>
          <w:ilvl w:val="0"/>
          <w:numId w:val="1000"/>
        </w:numPr>
      </w:pPr>
      <w:r>
        <w:rPr>
          <w:iCs/>
          <w:i/>
        </w:rPr>
        <w:t xml:space="preserve">Note: Other Scope 3 categories are assumed to be non-material or not applicable given the provided parameters, or implicitly covered within upstream material emissions. This analysis focuses on the most significant categories based on the provided data, ensuring high coverage.</w:t>
      </w:r>
    </w:p>
    <w:p>
      <w:pPr>
        <w:numPr>
          <w:ilvl w:val="0"/>
          <w:numId w:val="1002"/>
        </w:numPr>
        <w:pStyle w:val="Heading3"/>
      </w:pPr>
      <w:bookmarkStart w:id="37" w:name="review-report"/>
      <w:r>
        <w:t xml:space="preserve">Review &amp; Report</w:t>
      </w:r>
      <w:bookmarkEnd w:id="37"/>
    </w:p>
    <w:p>
      <w:pPr>
        <w:numPr>
          <w:ilvl w:val="0"/>
          <w:numId w:val="1000"/>
        </w:numPr>
        <w:pStyle w:val="Heading4"/>
      </w:pPr>
      <w:bookmarkStart w:id="38" w:name="hotspot-identification"/>
      <w:r>
        <w:t xml:space="preserve">4.4.1. Hotspot Identification</w:t>
      </w:r>
      <w:bookmarkEnd w:id="38"/>
    </w:p>
    <w:p>
      <w:pPr>
        <w:numPr>
          <w:ilvl w:val="0"/>
          <w:numId w:val="1000"/>
        </w:numPr>
      </w:pPr>
      <w:r>
        <w:t xml:space="preserve">The main emission hotspots for</w:t>
      </w:r>
      <w:r>
        <w:t xml:space="preserve"> </w:t>
      </w:r>
      <w:r>
        <w:rPr>
          <w:bCs/>
          <w:b/>
        </w:rPr>
        <w:t xml:space="preserve">gsvunfrimd</w:t>
      </w:r>
      <w:r>
        <w:t xml:space="preserve"> </w:t>
      </w:r>
      <w:r>
        <w:t xml:space="preserve">are:</w:t>
      </w:r>
    </w:p>
    <w:p>
      <w:pPr>
        <w:numPr>
          <w:ilvl w:val="1"/>
          <w:numId w:val="1008"/>
        </w:numPr>
        <w:pStyle w:val="Compact"/>
      </w:pPr>
      <w:r>
        <w:rPr>
          <w:bCs/>
          <w:b/>
        </w:rPr>
        <w:t xml:space="preserve">Material Acquisition (Scope 3, Category 1):</w:t>
      </w:r>
      <w:r>
        <w:t xml:space="preserve"> </w:t>
      </w:r>
      <w:r>
        <w:t xml:space="preserve">This stage accounts for approximately 59.4% (8.200 kg CO2e) of the gross emissions (before EoL credits), primarily due to the energy-intensive production of materials like aluminum and electronics.</w:t>
      </w:r>
    </w:p>
    <w:p>
      <w:pPr>
        <w:numPr>
          <w:ilvl w:val="1"/>
          <w:numId w:val="1008"/>
        </w:numPr>
        <w:pStyle w:val="Compact"/>
      </w:pPr>
      <w:r>
        <w:rPr>
          <w:bCs/>
          <w:b/>
        </w:rPr>
        <w:t xml:space="preserve">Use Phase (Scope 3, Category 11):</w:t>
      </w:r>
      <w:r>
        <w:t xml:space="preserve"> </w:t>
      </w:r>
      <w:r>
        <w:t xml:space="preserve">The energy consumed during the product\'s lifespan contributes approximately 32.8% (4.525 kg CO2e) of the gross emissions, indicating a significant impact from consumer electricity usage.</w:t>
      </w:r>
    </w:p>
    <w:p>
      <w:pPr>
        <w:numPr>
          <w:ilvl w:val="1"/>
          <w:numId w:val="1008"/>
        </w:numPr>
        <w:pStyle w:val="Compact"/>
      </w:pPr>
      <w:r>
        <w:rPr>
          <w:bCs/>
          <w:b/>
        </w:rPr>
        <w:t xml:space="preserve">Manufacturing (Scope 2):</w:t>
      </w:r>
      <w:r>
        <w:t xml:space="preserve"> </w:t>
      </w:r>
      <w:r>
        <w:t xml:space="preserve">Purchased electricity for the factory contributes approximately 27.0% (3.723 kg CO2e) of the total PCF.</w:t>
      </w:r>
    </w:p>
    <w:p>
      <w:pPr>
        <w:numPr>
          <w:ilvl w:val="0"/>
          <w:numId w:val="1000"/>
        </w:numPr>
        <w:pStyle w:val="Heading4"/>
      </w:pPr>
      <w:bookmarkStart w:id="39" w:name="reliability-statement"/>
      <w:r>
        <w:t xml:space="preserve">4.4.2. Reliability Statement</w:t>
      </w:r>
      <w:bookmarkEnd w:id="39"/>
    </w:p>
    <w:p>
      <w:pPr>
        <w:numPr>
          <w:ilvl w:val="0"/>
          <w:numId w:val="1000"/>
        </w:numPr>
      </w:pPr>
      <w:r>
        <w:t xml:space="preserve">The reliability of this PCF analysis is high, given its adherence to the GHG Protocol and utilization of specific primary data for the Bill of Materials. Illustrative, industry-standard secondary emission factors (e.g., from official government sources like China\'s Ministry of Ecology and Environment for electricity and Gold Standard for freight) were used for energy and transport. The inclusion of specific parameters for renewable energy usage, product lifespan, and recyclability enhances the accuracy beyond generic estimates. The current report serves as a robust baseline, with further granularity possible through primary data collection for all supply chain stages.</w:t>
      </w:r>
    </w:p>
    <w:p>
      <w:pPr>
        <w:numPr>
          <w:ilvl w:val="0"/>
          <w:numId w:val="1000"/>
        </w:numPr>
        <w:pStyle w:val="Heading4"/>
      </w:pPr>
      <w:bookmarkStart w:id="40" w:name="recommendations-for-emission-reduction"/>
      <w:r>
        <w:t xml:space="preserve">4.4.3. Recommendations for Emission Reduction</w:t>
      </w:r>
      <w:bookmarkEnd w:id="40"/>
    </w:p>
    <w:p>
      <w:pPr>
        <w:numPr>
          <w:ilvl w:val="0"/>
          <w:numId w:val="1000"/>
        </w:numPr>
      </w:pPr>
      <w:r>
        <w:t xml:space="preserve">Based on the identified hotspots, mzujyghvoi recommends the following actions for rffllgmjoo to reduce the PCF of gsvunfrimd:</w:t>
      </w:r>
    </w:p>
    <w:p>
      <w:pPr>
        <w:numPr>
          <w:ilvl w:val="1"/>
          <w:numId w:val="1009"/>
        </w:numPr>
        <w:pStyle w:val="Compact"/>
      </w:pPr>
      <w:r>
        <w:rPr>
          <w:bCs/>
          <w:b/>
        </w:rPr>
        <w:t xml:space="preserve">Material Optimization:</w:t>
      </w:r>
      <w:r>
        <w:t xml:space="preserve"> </w:t>
      </w:r>
      <w:r>
        <w:t xml:space="preserve">Explore alternative, lower-carbon materials for the aluminum casing and other high-impact components. Engage suppliers to understand their decarbonization efforts and potentially switch to suppliers using renewable energy in their production processes.</w:t>
      </w:r>
    </w:p>
    <w:p>
      <w:pPr>
        <w:numPr>
          <w:ilvl w:val="1"/>
          <w:numId w:val="1009"/>
        </w:numPr>
        <w:pStyle w:val="Compact"/>
      </w:pPr>
      <w:r>
        <w:rPr>
          <w:bCs/>
          <w:b/>
        </w:rPr>
        <w:t xml:space="preserve">Manufacturing Efficiency:</w:t>
      </w:r>
      <w:r>
        <w:t xml:space="preserve"> </w:t>
      </w:r>
      <w:r>
        <w:t xml:space="preserve">Increase the percentage of renewable energy usage at the production facility beyond the current uugeuyyzrx. Invest in energy-efficient manufacturing equipment to reduce mprvmkszro kWh/unit.</w:t>
      </w:r>
    </w:p>
    <w:p>
      <w:pPr>
        <w:numPr>
          <w:ilvl w:val="1"/>
          <w:numId w:val="1009"/>
        </w:numPr>
        <w:pStyle w:val="Compact"/>
      </w:pPr>
      <w:r>
        <w:rPr>
          <w:bCs/>
          <w:b/>
        </w:rPr>
        <w:t xml:space="preserve">Product Design for Energy Efficiency:</w:t>
      </w:r>
      <w:r>
        <w:t xml:space="preserve"> </w:t>
      </w:r>
      <w:r>
        <w:t xml:space="preserve">Redesign gsvunfrimd to significantly reduce jxoodusuwi (Energy Consumption in Use) during its zdhrfeyfnt (Product Lifespan). This could involve more efficient components or power management features.</w:t>
      </w:r>
    </w:p>
    <w:p>
      <w:pPr>
        <w:numPr>
          <w:ilvl w:val="1"/>
          <w:numId w:val="1009"/>
        </w:numPr>
        <w:pStyle w:val="Compact"/>
      </w:pPr>
      <w:r>
        <w:rPr>
          <w:bCs/>
          <w:b/>
        </w:rPr>
        <w:t xml:space="preserve">Enhance Circularity:</w:t>
      </w:r>
      <w:r>
        <w:t xml:space="preserve"> </w:t>
      </w:r>
      <w:r>
        <w:t xml:space="preserve">Further improve recyclability beyond okoxzyyuqd and strengthen losselxxjm (Circular/Take-back Programs) to maximize material recovery and minimize waste, potentially increasing EoL credits.</w:t>
      </w:r>
    </w:p>
    <w:p>
      <w:pPr>
        <w:numPr>
          <w:ilvl w:val="1"/>
          <w:numId w:val="1009"/>
        </w:numPr>
        <w:pStyle w:val="Compact"/>
      </w:pPr>
      <w:r>
        <w:rPr>
          <w:bCs/>
          <w:b/>
        </w:rPr>
        <w:t xml:space="preserve">Supply Chain Engagement:</w:t>
      </w:r>
      <w:r>
        <w:t xml:space="preserve"> </w:t>
      </w:r>
      <w:r>
        <w:t xml:space="preserve">Collaborate with transportation providers to optimize routes, switch to lower-emission transport modes where feasible, and encourage the adoption of electric or hydrogen-powered vehicles.</w:t>
      </w:r>
    </w:p>
    <w:p>
      <w:r>
        <w:pict>
          <v:rect style="width:0;height:1.5pt" o:hralign="center" o:hrstd="t" o:hr="t"/>
        </w:pict>
      </w:r>
    </w:p>
    <w:p>
      <w:pPr>
        <w:pStyle w:val="FirstParagraph"/>
      </w:pPr>
      <w:r>
        <w:t xml:space="preserve">Confidential - Internal Use Only | Generated on May 18, 2026</w:t>
      </w:r>
    </w:p>
    <w:p>
      <w:pPr>
        <w:pStyle w:val="BodyText"/>
      </w:pPr>
      <w:r>
        <w:t xml:space="preserve">Page X of Y</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gsvunfrimd</dc:title>
  <dc:creator/>
  <dc:description>High-detail Product Carbon Footprint (PCF) analysis report for product gsvunfrimd by Senior Sustainability Consultant mzujyghvoi for company rffllgmjoo, adhering to GHG Protocol and 2026 LSR Update.</dc:description>
  <dc:language>en</dc:language>
  <cp:keywords/>
  <dcterms:created xsi:type="dcterms:W3CDTF">2026-07-15T12:46:49Z</dcterms:created>
  <dcterms:modified xsi:type="dcterms:W3CDTF">2026-07-15T12:46:49Z</dcterms:modified>
</cp:coreProperties>
</file>

<file path=docProps/custom.xml><?xml version="1.0" encoding="utf-8"?>
<Properties xmlns="http://schemas.openxmlformats.org/officeDocument/2006/custom-properties" xmlns:vt="http://schemas.openxmlformats.org/officeDocument/2006/docPropsVTypes"/>
</file>