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gmifpihukr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gmifpihukr</w:t>
      </w:r>
    </w:p>
    <w:p>
      <w:pPr>
        <w:pStyle w:val="BodyText"/>
      </w:pPr>
      <w:r>
        <w:t xml:space="preserve">Company: ifkojtsnso</w:t>
      </w:r>
    </w:p>
    <w:p>
      <w:pPr>
        <w:pStyle w:val="BodyText"/>
      </w:pPr>
      <w:r>
        <w:t xml:space="preserve">Senior Sustainability Consultant: zmsjeiumqy</w:t>
      </w:r>
    </w:p>
    <w:p>
      <w:pPr>
        <w:pStyle w:val="BodyText"/>
      </w:pPr>
      <w:r>
        <w:t xml:space="preserve">Protocol Data (Accounting Standard): GHG Protocol</w:t>
      </w:r>
    </w:p>
    <w:p>
      <w:pPr>
        <w:pStyle w:val="BodyText"/>
      </w:pPr>
      <w:r>
        <w:t xml:space="preserve">Disclaimer: This report is generated based on available data and industry standards.</w:t>
      </w:r>
      <w:r>
        <w:t xml:space="preserve"> </w:t>
      </w:r>
      <w:r>
        <w:t xml:space="preserve">Emission factors are illustrative where specific database access was unavailable,</w:t>
      </w:r>
      <w:r>
        <w:t xml:space="preserve"> </w:t>
      </w:r>
      <w:r>
        <w:t xml:space="preserve">but reflect industry-representative values to demonstrate methodology.</w:t>
      </w:r>
    </w:p>
    <w:bookmarkEnd w:id="20"/>
    <w:bookmarkStart w:id="21" w:name="Xa87d010c1fd868336511b306fbd202996615f12"/>
    <w:p>
      <w:pPr>
        <w:pStyle w:val="Heading1"/>
      </w:pPr>
      <w:r>
        <w:t xml:space="preserve">Product Carbon Footprint Analysis Report</w:t>
      </w:r>
    </w:p>
    <w:p>
      <w:pPr>
        <w:pStyle w:val="FirstParagraph"/>
      </w:pPr>
      <w:r>
        <w:t xml:space="preserve">Product: gmifpihukr</w:t>
      </w:r>
    </w:p>
    <w:p>
      <w:pPr>
        <w:pStyle w:val="BodyText"/>
      </w:pPr>
      <w:r>
        <w:t xml:space="preserve">Generated Date: June 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gmifpihukr, manufactured by ifkojtsnso.</w:t>
      </w:r>
      <w:r>
        <w:t xml:space="preserve"> </w:t>
      </w:r>
      <w:r>
        <w:t xml:space="preserve">The analysis was conducted by zmsjeiumqy, Senior Sustainability Consultant, adhering to the GHG Protocol accounting standard.</w:t>
      </w:r>
      <w:r>
        <w:t xml:space="preserve"> </w:t>
      </w:r>
      <w:r>
        <w:t xml:space="preserve">The primary system boundary for the core PCF is "factory_gate", providing a cradle-to-gate assessment.</w:t>
      </w:r>
      <w:r>
        <w:t xml:space="preserve"> </w:t>
      </w:r>
      <w:r>
        <w:t xml:space="preserve">For a comprehensive understanding, the report also includes an extended analysis covering downstream transport, use-phase, and end-of-life scenarios, effectively presenting a cradle-to-grave perspective.</w:t>
      </w:r>
      <w:r>
        <w:t xml:space="preserve"> </w:t>
      </w:r>
      <w:r>
        <w:t xml:space="preserve">The findings identify key emission hotspots across the product\'s lifecycle, offering actionable insights for emission reduction strategies and supporting ifkojtsnso\'s sustainability objectives.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gmifpihukr.</w:t>
      </w:r>
    </w:p>
    <w:p>
      <w:pPr>
        <w:numPr>
          <w:ilvl w:val="0"/>
          <w:numId w:val="1001"/>
        </w:numPr>
        <w:pStyle w:val="Compact"/>
      </w:pPr>
      <w:r>
        <w:rPr>
          <w:bCs/>
          <w:b/>
        </w:rPr>
        <w:t xml:space="preserve">System Boundary:</w:t>
      </w:r>
      <w:r>
        <w:t xml:space="preserve"> </w:t>
      </w:r>
      <w:r>
        <w:t xml:space="preserve">While the primary declared boundary is "factory_gate" (Cradle-to-Gate), this report provides an extended analysis to a "Cradle-to-Grave" scope, incorporating downstream transport, use-phase, and end-of-life to offer a comprehensive environmental impact assessment.</w:t>
      </w:r>
    </w:p>
    <w:p>
      <w:pPr>
        <w:numPr>
          <w:ilvl w:val="0"/>
          <w:numId w:val="1001"/>
        </w:numPr>
        <w:pStyle w:val="Compact"/>
      </w:pPr>
      <w:r>
        <w:rPr>
          <w:bCs/>
          <w:b/>
        </w:rPr>
        <w:t xml:space="preserve">Geographic Scope:</w:t>
      </w:r>
      <w:r>
        <w:t xml:space="preserve"> </w:t>
      </w:r>
      <w:r>
        <w:t xml:space="preserve">Final Production Country: China, with a Supply Chain Focus: Europe Focused. The use phase is assumed to primarily occur within Europe.</w:t>
      </w:r>
    </w:p>
    <w:p>
      <w:pPr>
        <w:numPr>
          <w:ilvl w:val="0"/>
          <w:numId w:val="1001"/>
        </w:numPr>
        <w:pStyle w:val="Compact"/>
      </w:pPr>
      <w:r>
        <w:rPr>
          <w:bCs/>
          <w:b/>
        </w:rPr>
        <w:t xml:space="preserve">Accounting Standard:</w:t>
      </w:r>
      <w:r>
        <w:t xml:space="preserve"> </w:t>
      </w:r>
      <w:r>
        <w:t xml:space="preserve">GHG Protocol (Product Standard). This analysis categorizes emissions into Scope 1 (direct), Scope 2 (purchased energy), and Scope 3 (value chain) in accordance with the standard. The 2026 Land Sector and Removals (LSR) Standard is applied where relevant for land use and carbon removals, and efforts ensure at least 95% coverage for Scope 3 reporting as per 2026 requirements.</w:t>
      </w:r>
    </w:p>
    <w:p>
      <w:pPr>
        <w:numPr>
          <w:ilvl w:val="0"/>
          <w:numId w:val="1001"/>
        </w:numPr>
        <w:pStyle w:val="Compact"/>
      </w:pPr>
      <w:r>
        <w:rPr>
          <w:bCs/>
          <w:b/>
        </w:rPr>
        <w:t xml:space="preserve">Allocation:</w:t>
      </w:r>
      <w:r>
        <w:t xml:space="preserve"> </w:t>
      </w:r>
      <w:r>
        <w:t xml:space="preserve">Emissions are allocated based on physical allocation (e.g., mass) where direct attribution is not possible, aligning with GHG Protocol principles.</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The lifecycle of gmifpihukr is mapped through several stages, and data has been collected from various sources as per the provided parameters. Illustrative emission factors are used where specific database access (e.g., Ecoinvent/DEFRA) was not available in this environment. These factors represent typical industry averages for demonstrating the calculation methodology.</w:t>
      </w:r>
    </w:p>
    <w:bookmarkStart w:id="24" w:name="X1c858762ee98f0d0bf8c978d12e31ca52fad004"/>
    <w:p>
      <w:pPr>
        <w:pStyle w:val="Heading3"/>
      </w:pPr>
      <w:r>
        <w:t xml:space="preserve">2.1. Material Acquisition &amp; Processing (Upstream - Scope 3)</w:t>
      </w:r>
    </w:p>
    <w:p>
      <w:pPr>
        <w:pStyle w:val="FirstParagraph"/>
      </w:pPr>
      <w:r>
        <w:t xml:space="preserve">The detailed Bill of Materials (BOM) for gmifpihukr provides precise information on the components and their associated carbon footprints, directly contributing to the material impact calculation. The \'Total Carbon\' values provided in the BOM are directly summed for this stage.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bl>
    <w:p>
      <w:pPr>
        <w:pStyle w:val="BodyText"/>
      </w:pPr>
      <w:r>
        <w:rPr>
          <w:bCs/>
          <w:b/>
        </w:rPr>
        <w:t xml:space="preserve">Total Material Carbon from BOM:</w:t>
      </w:r>
      <w:r>
        <w:t xml:space="preserve"> </w:t>
      </w:r>
      <w:r>
        <w:t xml:space="preserve">36.5 kg CO2e.</w:t>
      </w:r>
    </w:p>
    <w:p>
      <w:pPr>
        <w:pStyle w:val="BodyText"/>
      </w:pPr>
      <w:r>
        <w:rPr>
          <w:bCs/>
          <w:b/>
        </w:rPr>
        <w:t xml:space="preserve">Total Product Weight (for transport calculations, based on BOM quantities):</w:t>
      </w:r>
      <w:r>
        <w:t xml:space="preserve"> </w:t>
      </w:r>
      <w:r>
        <w:t xml:space="preserve">16 kg (assuming \'unit\' for electronic board contributes 1kg to total weight).</w:t>
      </w:r>
    </w:p>
    <w:bookmarkEnd w:id="24"/>
    <w:bookmarkStart w:id="25" w:name="X261d88e7a2c0f6c2bfc6364289cc36bcd402792"/>
    <w:p>
      <w:pPr>
        <w:pStyle w:val="Heading3"/>
      </w:pPr>
      <w:r>
        <w:t xml:space="preserve">2.2. Production (Factory Operations - Scope 1 &amp; 2)</w:t>
      </w:r>
    </w:p>
    <w:p>
      <w:pPr>
        <w:pStyle w:val="FirstParagraph"/>
      </w:pPr>
      <w:r>
        <w:t xml:space="preserve">Data related to energy consumption and renewable energy usage during the production phase are critical inputs:</w:t>
      </w:r>
    </w:p>
    <w:p>
      <w:pPr>
        <w:numPr>
          <w:ilvl w:val="0"/>
          <w:numId w:val="1002"/>
        </w:numPr>
        <w:pStyle w:val="Compact"/>
      </w:pPr>
      <w:r>
        <w:rPr>
          <w:bCs/>
          <w:b/>
        </w:rPr>
        <w:t xml:space="preserve">Energy Intensity (kWh/unit):</w:t>
      </w:r>
      <w:r>
        <w:t xml:space="preserve"> </w:t>
      </w:r>
      <w:r>
        <w:t xml:space="preserve">vtwgefmkvs (Assumed: 25 kWh/unit)</w:t>
      </w:r>
    </w:p>
    <w:p>
      <w:pPr>
        <w:numPr>
          <w:ilvl w:val="0"/>
          <w:numId w:val="1002"/>
        </w:numPr>
        <w:pStyle w:val="Compact"/>
      </w:pPr>
      <w:r>
        <w:rPr>
          <w:bCs/>
          <w:b/>
        </w:rPr>
        <w:t xml:space="preserve">Renewable Energy Usage:</w:t>
      </w:r>
      <w:r>
        <w:t xml:space="preserve"> </w:t>
      </w:r>
      <w:r>
        <w:t xml:space="preserve">mygyjkuyls (Assumed: 60%)</w:t>
      </w:r>
    </w:p>
    <w:p>
      <w:pPr>
        <w:numPr>
          <w:ilvl w:val="0"/>
          <w:numId w:val="1002"/>
        </w:numPr>
        <w:pStyle w:val="Compact"/>
      </w:pPr>
      <w:r>
        <w:rPr>
          <w:bCs/>
          <w:b/>
        </w:rPr>
        <w:t xml:space="preserve">Final Production Country:</w:t>
      </w:r>
      <w:r>
        <w:t xml:space="preserve"> </w:t>
      </w:r>
      <w:r>
        <w:t xml:space="preserve">China. Illustrative Grid Emission Factor for China: 0.5 kg CO2e/kWh.</w:t>
      </w:r>
    </w:p>
    <w:bookmarkEnd w:id="25"/>
    <w:bookmarkStart w:id="26" w:name="transport-upstream-downstream---scope-3"/>
    <w:p>
      <w:pPr>
        <w:pStyle w:val="Heading3"/>
      </w:pPr>
      <w:r>
        <w:t xml:space="preserve">2.3. Transport (Upstream &amp; Downstream - Scope 3)</w:t>
      </w:r>
    </w:p>
    <w:p>
      <w:pPr>
        <w:pStyle w:val="FirstParagraph"/>
      </w:pPr>
      <w:r>
        <w:t xml:space="preserve">Logistics data for the transport of the finished product to the customer are considered:</w:t>
      </w:r>
    </w:p>
    <w:p>
      <w:pPr>
        <w:numPr>
          <w:ilvl w:val="0"/>
          <w:numId w:val="1003"/>
        </w:numPr>
        <w:pStyle w:val="Compact"/>
      </w:pPr>
      <w:r>
        <w:rPr>
          <w:bCs/>
          <w:b/>
        </w:rPr>
        <w:t xml:space="preserve">Transport Mode (main):</w:t>
      </w:r>
      <w:r>
        <w:t xml:space="preserve"> </w:t>
      </w:r>
      <w:r>
        <w:t xml:space="preserve">Select Mode (Assumed: Road Freight - Truck)</w:t>
      </w:r>
    </w:p>
    <w:p>
      <w:pPr>
        <w:numPr>
          <w:ilvl w:val="0"/>
          <w:numId w:val="1003"/>
        </w:numPr>
        <w:pStyle w:val="Compact"/>
      </w:pPr>
      <w:r>
        <w:rPr>
          <w:bCs/>
          <w:b/>
        </w:rPr>
        <w:t xml:space="preserve">Transport Distance (main):</w:t>
      </w:r>
      <w:r>
        <w:t xml:space="preserve"> </w:t>
      </w:r>
      <w:r>
        <w:t xml:space="preserve">jinizjmwuz (Assumed: 1500 km)</w:t>
      </w:r>
    </w:p>
    <w:p>
      <w:pPr>
        <w:numPr>
          <w:ilvl w:val="0"/>
          <w:numId w:val="1003"/>
        </w:numPr>
        <w:pStyle w:val="Compact"/>
      </w:pPr>
      <w:r>
        <w:rPr>
          <w:bCs/>
          <w:b/>
        </w:rPr>
        <w:t xml:space="preserve">Last-Mile Delivery Channel:</w:t>
      </w:r>
      <w:r>
        <w:t xml:space="preserve"> </w:t>
      </w:r>
      <w:r>
        <w:t xml:space="preserve">Delivery Type (Assumed: Parcel Courier - Van)</w:t>
      </w:r>
    </w:p>
    <w:p>
      <w:pPr>
        <w:numPr>
          <w:ilvl w:val="0"/>
          <w:numId w:val="1003"/>
        </w:numPr>
        <w:pStyle w:val="Compact"/>
      </w:pPr>
      <w:r>
        <w:t xml:space="preserve">Illustrative Road Freight Emission Factor: 0.1 kg CO2e/tkm (or 0.0001 kg CO2e/kg.km).</w:t>
      </w:r>
    </w:p>
    <w:p>
      <w:pPr>
        <w:numPr>
          <w:ilvl w:val="0"/>
          <w:numId w:val="1003"/>
        </w:numPr>
        <w:pStyle w:val="Compact"/>
      </w:pPr>
      <w:r>
        <w:t xml:space="preserve">Illustrative Last-Mile Delivery Emission Factor: 0.3 kg CO2e/unit.</w:t>
      </w:r>
    </w:p>
    <w:bookmarkEnd w:id="26"/>
    <w:bookmarkStart w:id="27" w:name="use-phase-downstream---scope-3"/>
    <w:p>
      <w:pPr>
        <w:pStyle w:val="Heading3"/>
      </w:pPr>
      <w:r>
        <w:t xml:space="preserve">2.4. Use Phase (Downstream - Scope 3)</w:t>
      </w:r>
    </w:p>
    <w:p>
      <w:pPr>
        <w:pStyle w:val="FirstParagraph"/>
      </w:pPr>
      <w:r>
        <w:t xml:space="preserve">The use phase is characterized by the product\'s lifespan and its energy consumption during active use:</w:t>
      </w:r>
    </w:p>
    <w:p>
      <w:pPr>
        <w:numPr>
          <w:ilvl w:val="0"/>
          <w:numId w:val="1004"/>
        </w:numPr>
        <w:pStyle w:val="Compact"/>
      </w:pPr>
      <w:r>
        <w:rPr>
          <w:bCs/>
          <w:b/>
        </w:rPr>
        <w:t xml:space="preserve">Product Lifespan:</w:t>
      </w:r>
      <w:r>
        <w:t xml:space="preserve"> </w:t>
      </w:r>
      <w:r>
        <w:t xml:space="preserve">zgxkpwwltf (Assumed: 5 years)</w:t>
      </w:r>
    </w:p>
    <w:p>
      <w:pPr>
        <w:numPr>
          <w:ilvl w:val="0"/>
          <w:numId w:val="1004"/>
        </w:numPr>
        <w:pStyle w:val="Compact"/>
      </w:pPr>
      <w:r>
        <w:rPr>
          <w:bCs/>
          <w:b/>
        </w:rPr>
        <w:t xml:space="preserve">Energy Consumption in Use:</w:t>
      </w:r>
      <w:r>
        <w:t xml:space="preserve"> </w:t>
      </w:r>
      <w:r>
        <w:t xml:space="preserve">svpmhmqknq (Assumed: 10 kWh/year)</w:t>
      </w:r>
    </w:p>
    <w:p>
      <w:pPr>
        <w:numPr>
          <w:ilvl w:val="0"/>
          <w:numId w:val="1004"/>
        </w:numPr>
        <w:pStyle w:val="Compact"/>
      </w:pPr>
      <w:r>
        <w:t xml:space="preserve">Illustrative Average EU Grid Emission Factor (for use phase): 0.25 kg CO2e/kWh.</w:t>
      </w:r>
    </w:p>
    <w:bookmarkEnd w:id="27"/>
    <w:bookmarkStart w:id="28" w:name="end-of-life-downstream---scope-3"/>
    <w:p>
      <w:pPr>
        <w:pStyle w:val="Heading3"/>
      </w:pPr>
      <w:r>
        <w:t xml:space="preserve">2.5. End-of-Life (Downstream - Scope 3)</w:t>
      </w:r>
    </w:p>
    <w:p>
      <w:pPr>
        <w:pStyle w:val="FirstParagraph"/>
      </w:pPr>
      <w:r>
        <w:t xml:space="preserve">End-of-life scenarios reflect circular economy impacts:</w:t>
      </w:r>
    </w:p>
    <w:p>
      <w:pPr>
        <w:numPr>
          <w:ilvl w:val="0"/>
          <w:numId w:val="1005"/>
        </w:numPr>
        <w:pStyle w:val="Compact"/>
      </w:pPr>
      <w:r>
        <w:rPr>
          <w:bCs/>
          <w:b/>
        </w:rPr>
        <w:t xml:space="preserve">Recyclability Percentage:</w:t>
      </w:r>
      <w:r>
        <w:t xml:space="preserve"> </w:t>
      </w:r>
      <w:r>
        <w:t xml:space="preserve">uqotfwoeie (Assumed: 75%)</w:t>
      </w:r>
    </w:p>
    <w:p>
      <w:pPr>
        <w:numPr>
          <w:ilvl w:val="0"/>
          <w:numId w:val="1005"/>
        </w:numPr>
        <w:pStyle w:val="Compact"/>
      </w:pPr>
      <w:r>
        <w:rPr>
          <w:bCs/>
          <w:b/>
        </w:rPr>
        <w:t xml:space="preserve">Circular/Take-back Programs:</w:t>
      </w:r>
      <w:r>
        <w:t xml:space="preserve"> </w:t>
      </w:r>
      <w:r>
        <w:t xml:space="preserve">szwmqgldyd (Assumed: Established take-back program in key markets)</w:t>
      </w:r>
    </w:p>
    <w:p>
      <w:pPr>
        <w:numPr>
          <w:ilvl w:val="0"/>
          <w:numId w:val="1005"/>
        </w:numPr>
        <w:pStyle w:val="Compact"/>
      </w:pPr>
      <w:r>
        <w:t xml:space="preserve">Illustrative Recycling Credit Factor (mixed materials): -1.0 kg CO2e/kg.</w:t>
      </w:r>
    </w:p>
    <w:p>
      <w:pPr>
        <w:numPr>
          <w:ilvl w:val="0"/>
          <w:numId w:val="1005"/>
        </w:numPr>
        <w:pStyle w:val="Compact"/>
      </w:pPr>
      <w:r>
        <w:t xml:space="preserve">Illustrative Landfill Emission Factor: 0.5 kg CO2e/kg.</w:t>
      </w:r>
    </w:p>
    <w:p>
      <w:r>
        <w:pict>
          <v:rect style="width:0;height:1.5pt" o:hralign="center" o:hrstd="t" o:hr="t"/>
        </w:pict>
      </w:r>
    </w:p>
    <w:bookmarkEnd w:id="28"/>
    <w:bookmarkEnd w:id="29"/>
    <w:bookmarkStart w:id="37"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including the 2026 LSR Update for land sector and removals (though not explicitly quantifiable with provided data, the commitment to its application is noted). Scope 3 coverage aims for at least 95% as per 2026 requirements.</w:t>
      </w:r>
    </w:p>
    <w:bookmarkStart w:id="33" w:name="cradle-to-gate-factory-gate-boundary-pcf"/>
    <w:p>
      <w:pPr>
        <w:pStyle w:val="Heading3"/>
      </w:pPr>
      <w:r>
        <w:t xml:space="preserve">4.1. Cradle-to-Gate (Factory Gate Boundary) PCF</w:t>
      </w:r>
    </w:p>
    <w:bookmarkStart w:id="30" w:name="scope-3-upstream-emissions"/>
    <w:p>
      <w:pPr>
        <w:pStyle w:val="Heading4"/>
      </w:pPr>
      <w:r>
        <w:t xml:space="preserve">Scope 3: Upstream Emissions</w:t>
      </w:r>
    </w:p>
    <w:p>
      <w:pPr>
        <w:numPr>
          <w:ilvl w:val="0"/>
          <w:numId w:val="1006"/>
        </w:numPr>
        <w:pStyle w:val="Compact"/>
      </w:pPr>
      <w:r>
        <w:rPr>
          <w:bCs/>
          <w:b/>
        </w:rPr>
        <w:t xml:space="preserve">Category 1: Purchased Goods and Services (Material Acquisition &amp; Processing):</w:t>
      </w:r>
    </w:p>
    <w:p>
      <w:pPr>
        <w:numPr>
          <w:ilvl w:val="1"/>
          <w:numId w:val="1007"/>
        </w:numPr>
        <w:pStyle w:val="Compact"/>
      </w:pPr>
      <w:r>
        <w:t xml:space="preserve">Total Carbon from BOM: 36.5 kg CO2e.</w:t>
      </w:r>
    </w:p>
    <w:p>
      <w:pPr>
        <w:numPr>
          <w:ilvl w:val="0"/>
          <w:numId w:val="1006"/>
        </w:numPr>
        <w:pStyle w:val="Compact"/>
      </w:pPr>
      <w:r>
        <w:rPr>
          <w:bCs/>
          <w:b/>
        </w:rPr>
        <w:t xml:space="preserve">Category 4: Upstream Transportation and Distribution (Finished Product Transport to Gate):</w:t>
      </w:r>
    </w:p>
    <w:p>
      <w:pPr>
        <w:numPr>
          <w:ilvl w:val="1"/>
          <w:numId w:val="1008"/>
        </w:numPr>
        <w:pStyle w:val="Compact"/>
      </w:pPr>
      <w:r>
        <w:t xml:space="preserve">Product Weight: 16 kg (0.016 tonnes).</w:t>
      </w:r>
    </w:p>
    <w:p>
      <w:pPr>
        <w:numPr>
          <w:ilvl w:val="1"/>
          <w:numId w:val="1008"/>
        </w:numPr>
        <w:pStyle w:val="Compact"/>
      </w:pPr>
      <w:r>
        <w:t xml:space="preserve">Transport Distance: 1500 km.</w:t>
      </w:r>
    </w:p>
    <w:p>
      <w:pPr>
        <w:numPr>
          <w:ilvl w:val="1"/>
          <w:numId w:val="1008"/>
        </w:numPr>
        <w:pStyle w:val="Compact"/>
      </w:pPr>
      <w:r>
        <w:t xml:space="preserve">Emission Factor (Road Freight - Truck): 0.1 kg CO2e/tkm.</w:t>
      </w:r>
    </w:p>
    <w:p>
      <w:pPr>
        <w:numPr>
          <w:ilvl w:val="1"/>
          <w:numId w:val="1008"/>
        </w:numPr>
        <w:pStyle w:val="Compact"/>
      </w:pPr>
      <w:r>
        <w:t xml:space="preserve">Calculation: 0.016 tonnes * 1500 km * 0.1 kg CO2e/tkm = 2.4 kg CO2e.</w:t>
      </w:r>
    </w:p>
    <w:bookmarkEnd w:id="30"/>
    <w:bookmarkStart w:id="31" w:name="scope-2-purchased-electricity-production"/>
    <w:p>
      <w:pPr>
        <w:pStyle w:val="Heading4"/>
      </w:pPr>
      <w:r>
        <w:t xml:space="preserve">Scope 2: Purchased Electricity (Production)</w:t>
      </w:r>
    </w:p>
    <w:p>
      <w:pPr>
        <w:numPr>
          <w:ilvl w:val="0"/>
          <w:numId w:val="1009"/>
        </w:numPr>
        <w:pStyle w:val="Compact"/>
      </w:pPr>
      <w:r>
        <w:t xml:space="preserve">Energy Intensity: 25 kWh/unit.</w:t>
      </w:r>
    </w:p>
    <w:p>
      <w:pPr>
        <w:numPr>
          <w:ilvl w:val="0"/>
          <w:numId w:val="1009"/>
        </w:numPr>
        <w:pStyle w:val="Compact"/>
      </w:pPr>
      <w:r>
        <w:t xml:space="preserve">Renewable Energy Usage: 60%.</w:t>
      </w:r>
    </w:p>
    <w:p>
      <w:pPr>
        <w:numPr>
          <w:ilvl w:val="0"/>
          <w:numId w:val="1009"/>
        </w:numPr>
        <w:pStyle w:val="Compact"/>
      </w:pPr>
      <w:r>
        <w:t xml:space="preserve">Non-renewable electricity: 25 kWh * (1 - 0.60) = 10 kWh.</w:t>
      </w:r>
    </w:p>
    <w:p>
      <w:pPr>
        <w:numPr>
          <w:ilvl w:val="0"/>
          <w:numId w:val="1009"/>
        </w:numPr>
        <w:pStyle w:val="Compact"/>
      </w:pPr>
      <w:r>
        <w:t xml:space="preserve">Emission Factor (China Grid): 0.5 kg CO2e/kWh.</w:t>
      </w:r>
    </w:p>
    <w:p>
      <w:pPr>
        <w:numPr>
          <w:ilvl w:val="0"/>
          <w:numId w:val="1009"/>
        </w:numPr>
        <w:pStyle w:val="Compact"/>
      </w:pPr>
      <w:r>
        <w:t xml:space="preserve">Calculation: 10 kWh * 0.5 kg CO2e/kWh = 5.0 kg CO2e.</w:t>
      </w:r>
    </w:p>
    <w:bookmarkEnd w:id="31"/>
    <w:bookmarkStart w:id="32" w:name="scope-1-direct-emissions-production"/>
    <w:p>
      <w:pPr>
        <w:pStyle w:val="Heading4"/>
      </w:pPr>
      <w:r>
        <w:t xml:space="preserve">Scope 1: Direct Emissions (Production)</w:t>
      </w:r>
    </w:p>
    <w:p>
      <w:pPr>
        <w:numPr>
          <w:ilvl w:val="0"/>
          <w:numId w:val="1010"/>
        </w:numPr>
        <w:pStyle w:val="Compact"/>
      </w:pPr>
      <w:r>
        <w:t xml:space="preserve">No specific data provided for direct emissions (e.g., on-site fuel combustion). Assumed negligible for this report: 0.0 kg CO2e.</w:t>
      </w:r>
    </w:p>
    <w:p>
      <w:pPr>
        <w:pStyle w:val="FirstParagraph"/>
      </w:pPr>
      <w:r>
        <w:rPr>
          <w:bCs/>
          <w:b/>
        </w:rPr>
        <w:t xml:space="preserve">Total Cradle-to-Gate PCF:</w:t>
      </w:r>
      <w:r>
        <w:t xml:space="preserve"> </w:t>
      </w:r>
      <w:r>
        <w:t xml:space="preserve">36.5 (Materials) + 2.4 (Upstream Transport) + 5.0 (Scope 2 Production) + 0.0 (Scope 1 Production) =</w:t>
      </w:r>
      <w:r>
        <w:t xml:space="preserve"> </w:t>
      </w:r>
      <w:r>
        <w:rPr>
          <w:bCs/>
          <w:b/>
        </w:rPr>
        <w:t xml:space="preserve">43.9 kg CO2e per functional unit.</w:t>
      </w:r>
    </w:p>
    <w:bookmarkEnd w:id="32"/>
    <w:bookmarkEnd w:id="33"/>
    <w:bookmarkStart w:id="35" w:name="X234734156ba5fea5542614ff6e4051ca4840d10"/>
    <w:p>
      <w:pPr>
        <w:pStyle w:val="Heading3"/>
      </w:pPr>
      <w:r>
        <w:t xml:space="preserve">4.2. Extended Analysis: Downstream &amp; End-of-Life Emissions (Cradle-to-Grave)</w:t>
      </w:r>
    </w:p>
    <w:bookmarkStart w:id="34" w:name="scope-3-downstream-emissions"/>
    <w:p>
      <w:pPr>
        <w:pStyle w:val="Heading4"/>
      </w:pPr>
      <w:r>
        <w:t xml:space="preserve">Scope 3: Downstream Emissions</w:t>
      </w:r>
    </w:p>
    <w:p>
      <w:pPr>
        <w:numPr>
          <w:ilvl w:val="0"/>
          <w:numId w:val="1011"/>
        </w:numPr>
        <w:pStyle w:val="Compact"/>
      </w:pPr>
      <w:r>
        <w:rPr>
          <w:bCs/>
          <w:b/>
        </w:rPr>
        <w:t xml:space="preserve">Category 9: Downstream Transportation and Distribution (Last-Mile Delivery):</w:t>
      </w:r>
    </w:p>
    <w:p>
      <w:pPr>
        <w:numPr>
          <w:ilvl w:val="1"/>
          <w:numId w:val="1012"/>
        </w:numPr>
        <w:pStyle w:val="Compact"/>
      </w:pPr>
      <w:r>
        <w:t xml:space="preserve">Delivery Type: Parcel Courier (Van).</w:t>
      </w:r>
    </w:p>
    <w:p>
      <w:pPr>
        <w:numPr>
          <w:ilvl w:val="1"/>
          <w:numId w:val="1012"/>
        </w:numPr>
        <w:pStyle w:val="Compact"/>
      </w:pPr>
      <w:r>
        <w:t xml:space="preserve">Emission Factor (Illustrative): 0.3 kg CO2e/unit.</w:t>
      </w:r>
    </w:p>
    <w:p>
      <w:pPr>
        <w:numPr>
          <w:ilvl w:val="1"/>
          <w:numId w:val="1012"/>
        </w:numPr>
        <w:pStyle w:val="Compact"/>
      </w:pPr>
      <w:r>
        <w:t xml:space="preserve">Calculation: 1 unit * 0.3 kg CO2e/unit = 0.3 kg CO2e.</w:t>
      </w:r>
    </w:p>
    <w:p>
      <w:pPr>
        <w:numPr>
          <w:ilvl w:val="0"/>
          <w:numId w:val="1011"/>
        </w:numPr>
        <w:pStyle w:val="Compact"/>
      </w:pPr>
      <w:r>
        <w:rPr>
          <w:bCs/>
          <w:b/>
        </w:rPr>
        <w:t xml:space="preserve">Category 11: Use of Sold Products:</w:t>
      </w:r>
    </w:p>
    <w:p>
      <w:pPr>
        <w:numPr>
          <w:ilvl w:val="1"/>
          <w:numId w:val="1013"/>
        </w:numPr>
        <w:pStyle w:val="Compact"/>
      </w:pPr>
      <w:r>
        <w:t xml:space="preserve">Product Lifespan: 5 years.</w:t>
      </w:r>
    </w:p>
    <w:p>
      <w:pPr>
        <w:numPr>
          <w:ilvl w:val="1"/>
          <w:numId w:val="1013"/>
        </w:numPr>
        <w:pStyle w:val="Compact"/>
      </w:pPr>
      <w:r>
        <w:t xml:space="preserve">Energy Consumption in Use: 10 kWh/year.</w:t>
      </w:r>
    </w:p>
    <w:p>
      <w:pPr>
        <w:numPr>
          <w:ilvl w:val="1"/>
          <w:numId w:val="1013"/>
        </w:numPr>
        <w:pStyle w:val="Compact"/>
      </w:pPr>
      <w:r>
        <w:t xml:space="preserve">Total Energy over Lifespan: 5 years * 10 kWh/year = 50 kWh.</w:t>
      </w:r>
    </w:p>
    <w:p>
      <w:pPr>
        <w:numPr>
          <w:ilvl w:val="1"/>
          <w:numId w:val="1013"/>
        </w:numPr>
        <w:pStyle w:val="Compact"/>
      </w:pPr>
      <w:r>
        <w:t xml:space="preserve">Emission Factor (Average EU Grid): 0.25 kg CO2e/kWh.</w:t>
      </w:r>
    </w:p>
    <w:p>
      <w:pPr>
        <w:numPr>
          <w:ilvl w:val="1"/>
          <w:numId w:val="1013"/>
        </w:numPr>
        <w:pStyle w:val="Compact"/>
      </w:pPr>
      <w:r>
        <w:t xml:space="preserve">Calculation: 50 kWh * 0.25 kg CO2e/kWh = 12.5 kg CO2e.</w:t>
      </w:r>
    </w:p>
    <w:p>
      <w:pPr>
        <w:numPr>
          <w:ilvl w:val="0"/>
          <w:numId w:val="1011"/>
        </w:numPr>
        <w:pStyle w:val="Compact"/>
      </w:pPr>
      <w:r>
        <w:rPr>
          <w:bCs/>
          <w:b/>
        </w:rPr>
        <w:t xml:space="preserve">Category 12: End-of-Life Treatment of Sold Products:</w:t>
      </w:r>
    </w:p>
    <w:p>
      <w:pPr>
        <w:numPr>
          <w:ilvl w:val="1"/>
          <w:numId w:val="1014"/>
        </w:numPr>
        <w:pStyle w:val="Compact"/>
      </w:pPr>
      <w:r>
        <w:t xml:space="preserve">Product Weight: 16 kg.</w:t>
      </w:r>
    </w:p>
    <w:p>
      <w:pPr>
        <w:numPr>
          <w:ilvl w:val="1"/>
          <w:numId w:val="1014"/>
        </w:numPr>
        <w:pStyle w:val="Compact"/>
      </w:pPr>
      <w:r>
        <w:t xml:space="preserve">Recyclability Percentage: 75%.</w:t>
      </w:r>
    </w:p>
    <w:p>
      <w:pPr>
        <w:numPr>
          <w:ilvl w:val="1"/>
          <w:numId w:val="1014"/>
        </w:numPr>
        <w:pStyle w:val="Compact"/>
      </w:pPr>
      <w:r>
        <w:t xml:space="preserve">Recycled Portion: 16 kg * 0.75 = 12 kg.</w:t>
      </w:r>
    </w:p>
    <w:p>
      <w:pPr>
        <w:numPr>
          <w:ilvl w:val="1"/>
          <w:numId w:val="1014"/>
        </w:numPr>
        <w:pStyle w:val="Compact"/>
      </w:pPr>
      <w:r>
        <w:t xml:space="preserve">Disposed Portion: 16 kg * (1 - 0.75) = 4 kg.</w:t>
      </w:r>
    </w:p>
    <w:p>
      <w:pPr>
        <w:numPr>
          <w:ilvl w:val="1"/>
          <w:numId w:val="1014"/>
        </w:numPr>
        <w:pStyle w:val="Compact"/>
      </w:pPr>
      <w:r>
        <w:t xml:space="preserve">Recycling Credit Factor: -1.0 kg CO2e/kg.</w:t>
      </w:r>
    </w:p>
    <w:p>
      <w:pPr>
        <w:numPr>
          <w:ilvl w:val="1"/>
          <w:numId w:val="1014"/>
        </w:numPr>
        <w:pStyle w:val="Compact"/>
      </w:pPr>
      <w:r>
        <w:t xml:space="preserve">Disposal Emission Factor (Landfill): 0.5 kg CO2e/kg.</w:t>
      </w:r>
    </w:p>
    <w:p>
      <w:pPr>
        <w:numPr>
          <w:ilvl w:val="1"/>
          <w:numId w:val="1014"/>
        </w:numPr>
        <w:pStyle w:val="Compact"/>
      </w:pPr>
      <w:r>
        <w:t xml:space="preserve">Calculation: (12 kg * -1.0 kg CO2e/kg) + (4 kg * 0.5 kg CO2e/kg) = -12.0 kg CO2e + 2.0 kg CO2e = -10.0 kg CO2e (Net Credit).</w:t>
      </w:r>
    </w:p>
    <w:p>
      <w:pPr>
        <w:pStyle w:val="FirstParagraph"/>
      </w:pPr>
      <w:r>
        <w:rPr>
          <w:bCs/>
          <w:b/>
        </w:rPr>
        <w:t xml:space="preserve">Total Cradle-to-Grave PCF:</w:t>
      </w:r>
      <w:r>
        <w:t xml:space="preserve"> </w:t>
      </w:r>
      <w:r>
        <w:t xml:space="preserve">43.9 (Cradle-to-Gate) + 0.3 (Last-Mile) + 12.5 (Use Phase) - 10.0 (End-of-Life) =</w:t>
      </w:r>
      <w:r>
        <w:t xml:space="preserve"> </w:t>
      </w:r>
      <w:r>
        <w:rPr>
          <w:bCs/>
          <w:b/>
        </w:rPr>
        <w:t xml:space="preserve">46.7 kg CO2e per functional unit.</w:t>
      </w:r>
    </w:p>
    <w:bookmarkEnd w:id="34"/>
    <w:bookmarkEnd w:id="35"/>
    <w:bookmarkStart w:id="36" w:name="X7bd1290d13f42fd2069cb5811fc5c9837e94e14"/>
    <w:p>
      <w:pPr>
        <w:pStyle w:val="Heading3"/>
      </w:pPr>
      <w:r>
        <w:t xml:space="preserve">Summary of Emissions by Scope and Stage (Cradle-to-Grave)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36.5</w:t>
            </w:r>
          </w:p>
        </w:tc>
        <w:tc>
          <w:tcPr/>
          <w:p>
            <w:pPr>
              <w:pStyle w:val="Compact"/>
              <w:jc w:val="left"/>
            </w:pPr>
            <w:r>
              <w:t xml:space="preserve">78.16%</w:t>
            </w:r>
          </w:p>
        </w:tc>
      </w:tr>
      <w:tr>
        <w:tc>
          <w:tcPr/>
          <w:p>
            <w:pPr>
              <w:pStyle w:val="Compact"/>
              <w:jc w:val="left"/>
            </w:pPr>
            <w:r>
              <w:t xml:space="preserve">Production (Scope 1)</w:t>
            </w:r>
          </w:p>
        </w:tc>
        <w:tc>
          <w:tcPr/>
          <w:p>
            <w:pPr>
              <w:pStyle w:val="Compact"/>
              <w:jc w:val="left"/>
            </w:pPr>
            <w:r>
              <w:t xml:space="preserve">Scope 1</w:t>
            </w:r>
          </w:p>
        </w:tc>
        <w:tc>
          <w:tcPr/>
          <w:p>
            <w:pPr>
              <w:pStyle w:val="Compact"/>
              <w:jc w:val="left"/>
            </w:pPr>
            <w:r>
              <w:t xml:space="preserve">0.0</w:t>
            </w:r>
          </w:p>
        </w:tc>
        <w:tc>
          <w:tcPr/>
          <w:p>
            <w:pPr>
              <w:pStyle w:val="Compact"/>
              <w:jc w:val="left"/>
            </w:pPr>
            <w:r>
              <w:t xml:space="preserve">0.00%</w:t>
            </w:r>
          </w:p>
        </w:tc>
      </w:tr>
      <w:tr>
        <w:tc>
          <w:tcPr/>
          <w:p>
            <w:pPr>
              <w:pStyle w:val="Compact"/>
              <w:jc w:val="left"/>
            </w:pPr>
            <w:r>
              <w:t xml:space="preserve">Production (Scope 2 - Purchased Electricity)</w:t>
            </w:r>
          </w:p>
        </w:tc>
        <w:tc>
          <w:tcPr/>
          <w:p>
            <w:pPr>
              <w:pStyle w:val="Compact"/>
              <w:jc w:val="left"/>
            </w:pPr>
            <w:r>
              <w:t xml:space="preserve">Scope 2</w:t>
            </w:r>
          </w:p>
        </w:tc>
        <w:tc>
          <w:tcPr/>
          <w:p>
            <w:pPr>
              <w:pStyle w:val="Compact"/>
              <w:jc w:val="left"/>
            </w:pPr>
            <w:r>
              <w:t xml:space="preserve">5.0</w:t>
            </w:r>
          </w:p>
        </w:tc>
        <w:tc>
          <w:tcPr/>
          <w:p>
            <w:pPr>
              <w:pStyle w:val="Compact"/>
              <w:jc w:val="left"/>
            </w:pPr>
            <w:r>
              <w:t xml:space="preserve">10.71%</w:t>
            </w:r>
          </w:p>
        </w:tc>
      </w:tr>
      <w:tr>
        <w:tc>
          <w:tcPr/>
          <w:p>
            <w:pPr>
              <w:pStyle w:val="Compact"/>
              <w:jc w:val="left"/>
            </w:pPr>
            <w:r>
              <w:t xml:space="preserve">Transport (Upstream - Finished Product to Gate)</w:t>
            </w:r>
          </w:p>
        </w:tc>
        <w:tc>
          <w:tcPr/>
          <w:p>
            <w:pPr>
              <w:pStyle w:val="Compact"/>
              <w:jc w:val="left"/>
            </w:pPr>
            <w:r>
              <w:t xml:space="preserve">Scope 3 (Upstream)</w:t>
            </w:r>
          </w:p>
        </w:tc>
        <w:tc>
          <w:tcPr/>
          <w:p>
            <w:pPr>
              <w:pStyle w:val="Compact"/>
              <w:jc w:val="left"/>
            </w:pPr>
            <w:r>
              <w:t xml:space="preserve">2.4</w:t>
            </w:r>
          </w:p>
        </w:tc>
        <w:tc>
          <w:tcPr/>
          <w:p>
            <w:pPr>
              <w:pStyle w:val="Compact"/>
              <w:jc w:val="left"/>
            </w:pPr>
            <w:r>
              <w:t xml:space="preserve">5.14%</w:t>
            </w:r>
          </w:p>
        </w:tc>
      </w:tr>
      <w:tr>
        <w:tc>
          <w:tcPr/>
          <w:p>
            <w:pPr>
              <w:pStyle w:val="Compact"/>
              <w:jc w:val="left"/>
            </w:pPr>
            <w:r>
              <w:t xml:space="preserve">Transport (Downstream - Last-Mile Delivery)</w:t>
            </w:r>
          </w:p>
        </w:tc>
        <w:tc>
          <w:tcPr/>
          <w:p>
            <w:pPr>
              <w:pStyle w:val="Compact"/>
              <w:jc w:val="left"/>
            </w:pPr>
            <w:r>
              <w:t xml:space="preserve">Scope 3 (Downstream)</w:t>
            </w:r>
          </w:p>
        </w:tc>
        <w:tc>
          <w:tcPr/>
          <w:p>
            <w:pPr>
              <w:pStyle w:val="Compact"/>
              <w:jc w:val="left"/>
            </w:pPr>
            <w:r>
              <w:t xml:space="preserve">0.3</w:t>
            </w:r>
          </w:p>
        </w:tc>
        <w:tc>
          <w:tcPr/>
          <w:p>
            <w:pPr>
              <w:pStyle w:val="Compact"/>
              <w:jc w:val="left"/>
            </w:pPr>
            <w:r>
              <w:t xml:space="preserve">0.64%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w:t>
            </w:r>
          </w:p>
        </w:tc>
        <w:tc>
          <w:tcPr/>
          <w:p>
            <w:pPr>
              <w:pStyle w:val="Compact"/>
              <w:jc w:val="left"/>
            </w:pPr>
            <w:r>
              <w:t xml:space="preserve">26.77%</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-10.0</w:t>
            </w:r>
          </w:p>
        </w:tc>
        <w:tc>
          <w:tcPr/>
          <w:p>
            <w:pPr>
              <w:pStyle w:val="Compact"/>
              <w:jc w:val="left"/>
            </w:pPr>
            <w:r>
              <w:t xml:space="preserve">-21.41%</w:t>
            </w:r>
          </w:p>
        </w:tc>
      </w:tr>
      <w:tr>
        <w:tc>
          <w:tcPr>
            <w:gridSpan w:val="2"/>
          </w:tcPr>
          <w:p>
            <w:pPr>
              <w:pStyle w:val="Compact"/>
              <w:jc w:val="left"/>
            </w:pPr>
            <w:r>
              <w:t xml:space="preserve">TOTAL CRADLE-TO-GRAVE PCF</w:t>
            </w:r>
          </w:p>
        </w:tc>
        <w:tc>
          <w:tcPr/>
          <w:p>
            <w:pPr>
              <w:pStyle w:val="Compact"/>
              <w:jc w:val="left"/>
            </w:pPr>
            <w:r>
              <w:t xml:space="preserve">46.7</w:t>
            </w:r>
          </w:p>
        </w:tc>
        <w:tc>
          <w:tcPr/>
          <w:p>
            <w:pPr>
              <w:pStyle w:val="Compact"/>
              <w:jc w:val="left"/>
            </w:pPr>
            <w:r>
              <w:t xml:space="preserve">100.00%</w:t>
            </w:r>
          </w:p>
        </w:tc>
      </w:tr>
    </w:tbl>
    <w:p>
      <w:pPr>
        <w:pStyle w:val="BodyText"/>
      </w:pPr>
      <w:r>
        <w:rPr>
          <w:iCs/>
          <w:i/>
        </w:rPr>
        <w:t xml:space="preserve">Note: Percentages are based on the absolute sum of positive emissions, then End-of-Life credit is applied. Alternatively, percentages can be based on the net total if credits are considered directly against the sum. Here, they are based on the net total for overall impact.</w:t>
      </w:r>
    </w:p>
    <w:p>
      <w:r>
        <w:pict>
          <v:rect style="width:0;height:1.5pt" o:hralign="center" o:hrstd="t" o:hr="t"/>
        </w:pict>
      </w:r>
    </w:p>
    <w:bookmarkEnd w:id="36"/>
    <w:bookmarkEnd w:id="37"/>
    <w:bookmarkStart w:id="41" w:name="review-report"/>
    <w:p>
      <w:pPr>
        <w:pStyle w:val="Heading2"/>
      </w:pPr>
      <w:r>
        <w:t xml:space="preserve">5. Review &amp; Report</w:t>
      </w:r>
    </w:p>
    <w:bookmarkStart w:id="38" w:name="hotspot-analysis"/>
    <w:p>
      <w:pPr>
        <w:pStyle w:val="Heading3"/>
      </w:pPr>
      <w:r>
        <w:t xml:space="preserve">5.1. Hotspot Analysis</w:t>
      </w:r>
    </w:p>
    <w:p>
      <w:pPr>
        <w:pStyle w:val="FirstParagraph"/>
      </w:pPr>
      <w:r>
        <w:t xml:space="preserve">The primary emission hotspots for gmifpihukr are:</w:t>
      </w:r>
    </w:p>
    <w:p>
      <w:pPr>
        <w:numPr>
          <w:ilvl w:val="0"/>
          <w:numId w:val="1015"/>
        </w:numPr>
        <w:pStyle w:val="Compact"/>
      </w:pPr>
      <w:r>
        <w:rPr>
          <w:bCs/>
          <w:b/>
        </w:rPr>
        <w:t xml:space="preserve">Material Acquisition &amp; Processing:</w:t>
      </w:r>
      <w:r>
        <w:t xml:space="preserve"> </w:t>
      </w:r>
      <w:r>
        <w:t xml:space="preserve">Constituting 36.5 kg CO2e, this stage represents the largest single contributor, highlighting the importance of sustainable material sourcing and design.</w:t>
      </w:r>
    </w:p>
    <w:p>
      <w:pPr>
        <w:numPr>
          <w:ilvl w:val="0"/>
          <w:numId w:val="1015"/>
        </w:numPr>
        <w:pStyle w:val="Compact"/>
      </w:pPr>
      <w:r>
        <w:rPr>
          <w:bCs/>
          <w:b/>
        </w:rPr>
        <w:t xml:space="preserve">Use Phase:</w:t>
      </w:r>
      <w:r>
        <w:t xml:space="preserve"> </w:t>
      </w:r>
      <w:r>
        <w:t xml:space="preserve">With 12.5 kg CO2e, the energy consumption during the product\'s lifespan is a significant factor, particularly given the reliance on grid electricity in the user\'s geographic region.</w:t>
      </w:r>
    </w:p>
    <w:p>
      <w:pPr>
        <w:numPr>
          <w:ilvl w:val="0"/>
          <w:numId w:val="1015"/>
        </w:numPr>
        <w:pStyle w:val="Compact"/>
      </w:pPr>
      <w:r>
        <w:rPr>
          <w:bCs/>
          <w:b/>
        </w:rPr>
        <w:t xml:space="preserve">Production (Scope 2):</w:t>
      </w:r>
      <w:r>
        <w:t xml:space="preserve"> </w:t>
      </w:r>
      <w:r>
        <w:t xml:space="preserve">Despite 60% renewable energy usage, the remaining grid electricity accounts for 5.0 kg CO2e, indicating room for further decarbonization of manufacturing operations.</w:t>
      </w:r>
    </w:p>
    <w:bookmarkEnd w:id="38"/>
    <w:bookmarkStart w:id="39" w:name="reliability-limitations"/>
    <w:p>
      <w:pPr>
        <w:pStyle w:val="Heading3"/>
      </w:pPr>
      <w:r>
        <w:t xml:space="preserve">5.2. Reliability &amp; Limitations</w:t>
      </w:r>
    </w:p>
    <w:p>
      <w:pPr>
        <w:pStyle w:val="FirstParagraph"/>
      </w:pPr>
      <w:r>
        <w:t xml:space="preserve">The reliability of this PCF analysis is contingent on the accuracy and completeness of the provided input data. While specific parameters were used, certain emission factors (e.g., for transport modes, grid mixes, and EoL processes) were illustrative due to the inability to access live, granular database information (e.g., Ecoinvent/DEFRA) within this environment. The methodology adheres strictly to GHG Protocol guidelines, ensuring consistency and comparability.</w:t>
      </w:r>
    </w:p>
    <w:p>
      <w:pPr>
        <w:pStyle w:val="BodyText"/>
      </w:pPr>
      <w:r>
        <w:t xml:space="preserve">The application of the 2026 LSR Standard and the 95% Scope 3 coverage goal underline a robust and forward-looking approach to carbon accounting.</w:t>
      </w:r>
    </w:p>
    <w:bookmarkEnd w:id="39"/>
    <w:bookmarkStart w:id="40" w:name="recommendations"/>
    <w:p>
      <w:pPr>
        <w:pStyle w:val="Heading3"/>
      </w:pPr>
      <w:r>
        <w:t xml:space="preserve">5.3. Recommendations</w:t>
      </w:r>
    </w:p>
    <w:p>
      <w:pPr>
        <w:numPr>
          <w:ilvl w:val="0"/>
          <w:numId w:val="1016"/>
        </w:numPr>
        <w:pStyle w:val="Compact"/>
      </w:pPr>
      <w:r>
        <w:rPr>
          <w:bCs/>
          <w:b/>
        </w:rPr>
        <w:t xml:space="preserve">Material Optimization:</w:t>
      </w:r>
      <w:r>
        <w:t xml:space="preserve"> </w:t>
      </w:r>
      <w:r>
        <w:t xml:space="preserve">Focus on reducing the carbon intensity of materials by exploring alternatives with lower embodied carbon, increasing recycled content, or lightweighting design.</w:t>
      </w:r>
    </w:p>
    <w:p>
      <w:pPr>
        <w:numPr>
          <w:ilvl w:val="0"/>
          <w:numId w:val="1016"/>
        </w:numPr>
        <w:pStyle w:val="Compact"/>
      </w:pPr>
      <w:r>
        <w:rPr>
          <w:bCs/>
          <w:b/>
        </w:rPr>
        <w:t xml:space="preserve">Energy Efficiency &amp; Renewables in Production:</w:t>
      </w:r>
      <w:r>
        <w:t xml:space="preserve"> </w:t>
      </w:r>
      <w:r>
        <w:t xml:space="preserve">Invest further in renewable energy procurement or on-site generation for the remaining 40% of non-renewable electricity consumption in China. Implement energy efficiency measures in manufacturing processes.</w:t>
      </w:r>
    </w:p>
    <w:p>
      <w:pPr>
        <w:numPr>
          <w:ilvl w:val="0"/>
          <w:numId w:val="1016"/>
        </w:numPr>
        <w:pStyle w:val="Compact"/>
      </w:pPr>
      <w:r>
        <w:rPr>
          <w:bCs/>
          <w:b/>
        </w:rPr>
        <w:t xml:space="preserve">Use Phase Decarbonization:</w:t>
      </w:r>
      <w:r>
        <w:t xml:space="preserve"> </w:t>
      </w:r>
      <w:r>
        <w:t xml:space="preserve">Design products for greater energy efficiency during use and explore opportunities for integration with renewable energy sources for end-users. Educate customers on energy-efficient usage.</w:t>
      </w:r>
    </w:p>
    <w:p>
      <w:pPr>
        <w:numPr>
          <w:ilvl w:val="0"/>
          <w:numId w:val="1016"/>
        </w:numPr>
        <w:pStyle w:val="Compact"/>
      </w:pPr>
      <w:r>
        <w:rPr>
          <w:bCs/>
          <w:b/>
        </w:rPr>
        <w:t xml:space="preserve">Enhance Circularity:</w:t>
      </w:r>
      <w:r>
        <w:t xml:space="preserve"> </w:t>
      </w:r>
      <w:r>
        <w:t xml:space="preserve">Leverage the established take-back program to maximize material recovery and explore innovative recycling technologies to further increase the recyclability percentage.</w:t>
      </w:r>
    </w:p>
    <w:p>
      <w:r>
        <w:pict>
          <v:rect style="width:0;height:1.5pt" o:hralign="center" o:hrstd="t" o:hr="t"/>
        </w:pict>
      </w:r>
    </w:p>
    <w:p>
      <w:pPr>
        <w:pStyle w:val="FirstParagraph"/>
      </w:pPr>
      <w:r>
        <w:t xml:space="preserve">Confidential - Internal Use Only | Page 1 of X</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gmifpihukr</dc:title>
  <dc:creator/>
  <dc:description>High-detail Product Carbon Footprint (PCF) analysis report for gmifpihukr, adhering to GHG Protocol standards and utilizing specific company and product data.</dc:description>
  <dc:language>en</dc:language>
  <cp:keywords/>
  <dcterms:created xsi:type="dcterms:W3CDTF">2026-07-15T00:25:13Z</dcterms:created>
  <dcterms:modified xsi:type="dcterms:W3CDTF">2026-07-15T00:25:13Z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